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223" w:rsidRDefault="00755223" w:rsidP="00755223">
      <w:pPr>
        <w:pStyle w:val="ReportHead"/>
        <w:suppressAutoHyphens/>
        <w:rPr>
          <w:sz w:val="24"/>
        </w:rPr>
      </w:pPr>
      <w:proofErr w:type="spellStart"/>
      <w:r>
        <w:rPr>
          <w:sz w:val="24"/>
        </w:rPr>
        <w:t>Минобрнауки</w:t>
      </w:r>
      <w:proofErr w:type="spellEnd"/>
      <w:r>
        <w:rPr>
          <w:sz w:val="24"/>
        </w:rPr>
        <w:t xml:space="preserve"> России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Федеральное государственное бюджетное образовательное учреждение</w:t>
      </w: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высшего образования</w:t>
      </w:r>
    </w:p>
    <w:p w:rsidR="00755223" w:rsidRDefault="00755223" w:rsidP="00755223">
      <w:pPr>
        <w:pStyle w:val="ReportHead"/>
        <w:suppressAutoHyphens/>
        <w:rPr>
          <w:b/>
          <w:sz w:val="24"/>
        </w:rPr>
      </w:pPr>
      <w:r>
        <w:rPr>
          <w:b/>
          <w:sz w:val="24"/>
        </w:rPr>
        <w:t>«Оренбургский государственный университет»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  <w:r>
        <w:rPr>
          <w:sz w:val="24"/>
        </w:rPr>
        <w:t>Кафедра геологии, геодезии и кадастра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Pr="004330DA" w:rsidRDefault="00755223" w:rsidP="00755223">
      <w:pPr>
        <w:spacing w:before="600" w:after="600" w:line="240" w:lineRule="auto"/>
        <w:jc w:val="center"/>
        <w:rPr>
          <w:rFonts w:ascii="Times New Roman" w:hAnsi="Times New Roman"/>
          <w:sz w:val="24"/>
          <w:szCs w:val="24"/>
        </w:rPr>
      </w:pPr>
      <w:r w:rsidRPr="004330DA">
        <w:rPr>
          <w:rFonts w:ascii="Times New Roman" w:hAnsi="Times New Roman"/>
          <w:sz w:val="24"/>
          <w:szCs w:val="24"/>
        </w:rPr>
        <w:t xml:space="preserve">Методические указания для </w:t>
      </w:r>
      <w:proofErr w:type="gramStart"/>
      <w:r w:rsidRPr="004330DA">
        <w:rPr>
          <w:rFonts w:ascii="Times New Roman" w:hAnsi="Times New Roman"/>
          <w:sz w:val="24"/>
          <w:szCs w:val="24"/>
        </w:rPr>
        <w:t>обучающихся</w:t>
      </w:r>
      <w:proofErr w:type="gramEnd"/>
      <w:r w:rsidRPr="004330DA">
        <w:rPr>
          <w:rFonts w:ascii="Times New Roman" w:hAnsi="Times New Roman"/>
          <w:sz w:val="24"/>
          <w:szCs w:val="24"/>
        </w:rPr>
        <w:t xml:space="preserve"> по освоению дисциплины</w:t>
      </w:r>
    </w:p>
    <w:p w:rsidR="000417B7" w:rsidRDefault="000417B7" w:rsidP="000417B7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«С.1.Б.20 Структурная геология»</w:t>
      </w: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jc w:val="left"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:rsidR="002878B5" w:rsidRDefault="002878B5" w:rsidP="002878B5">
      <w:pPr>
        <w:pStyle w:val="ReportHead"/>
        <w:suppressAutoHyphens/>
        <w:spacing w:line="360" w:lineRule="auto"/>
        <w:rPr>
          <w:sz w:val="24"/>
        </w:rPr>
      </w:pPr>
      <w:r>
        <w:rPr>
          <w:sz w:val="24"/>
        </w:rPr>
        <w:t>СПЕЦИАЛИТЕТ</w:t>
      </w:r>
    </w:p>
    <w:p w:rsidR="002878B5" w:rsidRDefault="002878B5" w:rsidP="002878B5">
      <w:pPr>
        <w:pStyle w:val="ReportHead"/>
        <w:suppressAutoHyphens/>
        <w:rPr>
          <w:sz w:val="24"/>
        </w:rPr>
      </w:pPr>
      <w:r>
        <w:rPr>
          <w:sz w:val="24"/>
        </w:rPr>
        <w:t>Специальность</w:t>
      </w:r>
    </w:p>
    <w:p w:rsidR="002878B5" w:rsidRDefault="002878B5" w:rsidP="002878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21.05.02 Прикладная геология</w:t>
      </w:r>
    </w:p>
    <w:p w:rsidR="002878B5" w:rsidRDefault="002878B5" w:rsidP="002878B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специальности)</w:t>
      </w:r>
    </w:p>
    <w:p w:rsidR="002878B5" w:rsidRDefault="002878B5" w:rsidP="002878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Геология нефти и газа</w:t>
      </w:r>
    </w:p>
    <w:p w:rsidR="002878B5" w:rsidRDefault="002878B5" w:rsidP="002878B5">
      <w:pPr>
        <w:pStyle w:val="ReportHead"/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  <w:r>
        <w:rPr>
          <w:sz w:val="24"/>
        </w:rPr>
        <w:t>Квалификация</w:t>
      </w:r>
    </w:p>
    <w:p w:rsidR="002878B5" w:rsidRDefault="002878B5" w:rsidP="002878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Горный инженер - геолог</w:t>
      </w:r>
    </w:p>
    <w:p w:rsidR="002878B5" w:rsidRDefault="002878B5" w:rsidP="002878B5">
      <w:pPr>
        <w:pStyle w:val="ReportHead"/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:rsidR="002878B5" w:rsidRDefault="002878B5" w:rsidP="002878B5">
      <w:pPr>
        <w:pStyle w:val="ReportHead"/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Заочная</w:t>
      </w:r>
    </w:p>
    <w:p w:rsidR="002878B5" w:rsidRDefault="002878B5" w:rsidP="002878B5">
      <w:pPr>
        <w:pStyle w:val="ReportHead"/>
        <w:suppressAutoHyphens/>
        <w:rPr>
          <w:sz w:val="24"/>
        </w:rPr>
      </w:pPr>
      <w:bookmarkStart w:id="0" w:name="BookmarkWhereDelChr13"/>
      <w:bookmarkEnd w:id="0"/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2878B5" w:rsidRDefault="002878B5" w:rsidP="002878B5">
      <w:pPr>
        <w:pStyle w:val="ReportHead"/>
        <w:suppressAutoHyphens/>
        <w:rPr>
          <w:sz w:val="24"/>
        </w:rPr>
      </w:pPr>
    </w:p>
    <w:p w:rsidR="000417B7" w:rsidRPr="00D434A6" w:rsidRDefault="000417B7" w:rsidP="000417B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D62C4">
        <w:rPr>
          <w:rFonts w:ascii="Times New Roman" w:hAnsi="Times New Roman"/>
          <w:sz w:val="24"/>
          <w:szCs w:val="24"/>
        </w:rPr>
        <w:t>Год набора 201</w:t>
      </w:r>
      <w:r>
        <w:rPr>
          <w:rFonts w:ascii="Times New Roman" w:hAnsi="Times New Roman"/>
          <w:sz w:val="24"/>
          <w:szCs w:val="24"/>
        </w:rPr>
        <w:t>9</w:t>
      </w:r>
    </w:p>
    <w:p w:rsidR="00755223" w:rsidRDefault="00755223" w:rsidP="00755223">
      <w:pPr>
        <w:pStyle w:val="ReportHead"/>
        <w:suppressAutoHyphens/>
        <w:rPr>
          <w:sz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417B7" w:rsidRPr="000262E8" w:rsidRDefault="00755223" w:rsidP="000417B7">
      <w:pPr>
        <w:spacing w:before="2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Pr="00755223">
        <w:rPr>
          <w:rFonts w:ascii="Times New Roman" w:hAnsi="Times New Roman" w:cs="Times New Roman"/>
          <w:b/>
          <w:sz w:val="28"/>
          <w:szCs w:val="28"/>
        </w:rPr>
        <w:tab/>
        <w:t xml:space="preserve">       </w:t>
      </w:r>
      <w:r w:rsidR="000417B7" w:rsidRPr="000262E8">
        <w:rPr>
          <w:rFonts w:ascii="Times New Roman" w:hAnsi="Times New Roman"/>
          <w:sz w:val="24"/>
          <w:szCs w:val="24"/>
        </w:rPr>
        <w:t xml:space="preserve">Составитель ____________________ </w:t>
      </w:r>
      <w:proofErr w:type="spellStart"/>
      <w:r w:rsidR="000417B7">
        <w:rPr>
          <w:rFonts w:ascii="Times New Roman" w:hAnsi="Times New Roman"/>
          <w:sz w:val="24"/>
          <w:szCs w:val="24"/>
        </w:rPr>
        <w:t>Галянина</w:t>
      </w:r>
      <w:proofErr w:type="spellEnd"/>
      <w:r w:rsidR="000417B7">
        <w:rPr>
          <w:rFonts w:ascii="Times New Roman" w:hAnsi="Times New Roman"/>
          <w:sz w:val="24"/>
          <w:szCs w:val="24"/>
        </w:rPr>
        <w:t xml:space="preserve"> Н.П. </w:t>
      </w:r>
    </w:p>
    <w:p w:rsidR="000417B7" w:rsidRPr="000262E8" w:rsidRDefault="000417B7" w:rsidP="000417B7">
      <w:pPr>
        <w:spacing w:before="14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B0F46">
        <w:rPr>
          <w:rFonts w:ascii="Times New Roman" w:hAnsi="Times New Roman"/>
          <w:sz w:val="24"/>
          <w:szCs w:val="24"/>
        </w:rPr>
        <w:t>Методические указания рассмотрены и одобрены</w:t>
      </w:r>
      <w:r w:rsidRPr="000262E8">
        <w:rPr>
          <w:rFonts w:ascii="Times New Roman" w:hAnsi="Times New Roman"/>
          <w:sz w:val="24"/>
          <w:szCs w:val="24"/>
        </w:rPr>
        <w:t xml:space="preserve"> на заседании кафедры </w:t>
      </w:r>
      <w:r>
        <w:rPr>
          <w:rFonts w:ascii="Times New Roman" w:hAnsi="Times New Roman"/>
          <w:sz w:val="24"/>
          <w:szCs w:val="24"/>
        </w:rPr>
        <w:t>геологии, геодезии и кадастра</w:t>
      </w:r>
    </w:p>
    <w:p w:rsidR="000417B7" w:rsidRPr="000262E8" w:rsidRDefault="000417B7" w:rsidP="000417B7">
      <w:pPr>
        <w:spacing w:before="84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0262E8">
        <w:rPr>
          <w:rFonts w:ascii="Times New Roman" w:hAnsi="Times New Roman"/>
          <w:sz w:val="24"/>
          <w:szCs w:val="24"/>
        </w:rPr>
        <w:t>Заведующий кафедрой ________________________</w:t>
      </w:r>
      <w:r>
        <w:rPr>
          <w:rFonts w:ascii="Times New Roman" w:hAnsi="Times New Roman"/>
          <w:sz w:val="24"/>
          <w:szCs w:val="24"/>
        </w:rPr>
        <w:t>В.П. Петрищев</w:t>
      </w:r>
    </w:p>
    <w:p w:rsidR="000417B7" w:rsidRDefault="000417B7" w:rsidP="000417B7">
      <w:pPr>
        <w:spacing w:before="8400"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1A2714">
        <w:rPr>
          <w:rFonts w:ascii="Times New Roman" w:hAnsi="Times New Roman"/>
          <w:color w:val="000000"/>
          <w:sz w:val="24"/>
          <w:szCs w:val="24"/>
        </w:rPr>
        <w:t xml:space="preserve">Методические указания являются приложением к рабочей программе дисциплины </w:t>
      </w:r>
    </w:p>
    <w:p w:rsidR="000417B7" w:rsidRPr="001A2714" w:rsidRDefault="000417B7" w:rsidP="000417B7">
      <w:pPr>
        <w:pStyle w:val="ReportHead"/>
        <w:suppressAutoHyphens/>
        <w:spacing w:before="120"/>
        <w:jc w:val="both"/>
        <w:rPr>
          <w:color w:val="000000"/>
          <w:sz w:val="24"/>
          <w:szCs w:val="24"/>
        </w:rPr>
      </w:pPr>
      <w:r w:rsidRPr="000417B7">
        <w:rPr>
          <w:i/>
          <w:sz w:val="24"/>
          <w:u w:val="single"/>
        </w:rPr>
        <w:t>«С.1.Б.20 Структурная геология»</w:t>
      </w:r>
      <w:r w:rsidRPr="000417B7">
        <w:rPr>
          <w:i/>
          <w:sz w:val="24"/>
        </w:rPr>
        <w:t xml:space="preserve">, </w:t>
      </w:r>
      <w:proofErr w:type="gramStart"/>
      <w:r w:rsidRPr="001A2714">
        <w:rPr>
          <w:color w:val="000000"/>
          <w:sz w:val="24"/>
          <w:szCs w:val="24"/>
        </w:rPr>
        <w:t>зарегистрированной</w:t>
      </w:r>
      <w:proofErr w:type="gramEnd"/>
      <w:r w:rsidRPr="001A2714">
        <w:rPr>
          <w:color w:val="000000"/>
          <w:sz w:val="24"/>
          <w:szCs w:val="24"/>
        </w:rPr>
        <w:t xml:space="preserve"> в ЦИТ под учетным номером</w:t>
      </w:r>
      <w:r w:rsidRPr="001A2714">
        <w:rPr>
          <w:color w:val="000000"/>
          <w:sz w:val="24"/>
          <w:szCs w:val="24"/>
          <w:u w:val="single"/>
        </w:rPr>
        <w:t xml:space="preserve">   </w:t>
      </w:r>
      <w:r>
        <w:rPr>
          <w:color w:val="000000"/>
          <w:sz w:val="24"/>
          <w:szCs w:val="24"/>
          <w:u w:val="single"/>
        </w:rPr>
        <w:t xml:space="preserve"> </w:t>
      </w:r>
      <w:r w:rsidR="0090464B">
        <w:rPr>
          <w:color w:val="000000"/>
          <w:sz w:val="24"/>
          <w:szCs w:val="24"/>
          <w:u w:val="single"/>
        </w:rPr>
        <w:t>71637</w:t>
      </w:r>
      <w:r>
        <w:rPr>
          <w:color w:val="000000"/>
          <w:sz w:val="24"/>
          <w:szCs w:val="24"/>
          <w:u w:val="single"/>
        </w:rPr>
        <w:t xml:space="preserve">    </w:t>
      </w:r>
      <w:r w:rsidRPr="001A2714">
        <w:rPr>
          <w:color w:val="000000"/>
          <w:sz w:val="24"/>
          <w:szCs w:val="24"/>
        </w:rPr>
        <w:t>.</w:t>
      </w:r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0417B7" w:rsidRPr="00EA4867" w:rsidRDefault="000417B7" w:rsidP="000417B7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ind w:left="6372"/>
        <w:jc w:val="center"/>
        <w:rPr>
          <w:rFonts w:ascii="Times New Roman" w:hAnsi="Times New Roman" w:cs="Times New Roman"/>
          <w:sz w:val="28"/>
          <w:szCs w:val="28"/>
        </w:rPr>
      </w:pPr>
      <w:r w:rsidRPr="00755223">
        <w:rPr>
          <w:rFonts w:ascii="Times New Roman" w:hAnsi="Times New Roman" w:cs="Times New Roman"/>
          <w:sz w:val="28"/>
          <w:szCs w:val="28"/>
        </w:rPr>
        <w:lastRenderedPageBreak/>
        <w:t xml:space="preserve">   </w:t>
      </w:r>
    </w:p>
    <w:p w:rsidR="00755223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755223">
        <w:rPr>
          <w:rFonts w:ascii="Times New Roman" w:hAnsi="Times New Roman" w:cs="Times New Roman"/>
          <w:b/>
          <w:sz w:val="32"/>
          <w:szCs w:val="32"/>
        </w:rPr>
        <w:t>Содержание</w:t>
      </w:r>
    </w:p>
    <w:p w:rsidR="000417B7" w:rsidRDefault="000417B7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1 Общие сведения о курсе дисциплины…………………………………………………………….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0417B7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 Методические указания к практическим занятиям ……………………………………………</w:t>
      </w:r>
      <w:r w:rsidR="006B7576">
        <w:rPr>
          <w:rFonts w:ascii="Times New Roman" w:hAnsi="Times New Roman" w:cs="Times New Roman"/>
          <w:sz w:val="24"/>
          <w:szCs w:val="24"/>
        </w:rPr>
        <w:t>..4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 xml:space="preserve">2.1 </w:t>
      </w:r>
      <w:r w:rsidR="00755223" w:rsidRPr="000417B7">
        <w:rPr>
          <w:rFonts w:ascii="Times New Roman" w:hAnsi="Times New Roman" w:cs="Times New Roman"/>
          <w:sz w:val="24"/>
          <w:szCs w:val="24"/>
        </w:rPr>
        <w:t>Складчатые формы залегания слоев горных пород (пликативные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>дислокации)</w:t>
      </w:r>
      <w:r>
        <w:rPr>
          <w:rFonts w:ascii="Times New Roman" w:hAnsi="Times New Roman" w:cs="Times New Roman"/>
          <w:sz w:val="24"/>
          <w:szCs w:val="24"/>
        </w:rPr>
        <w:t xml:space="preserve"> ……………</w:t>
      </w:r>
      <w:r w:rsidR="006B7576">
        <w:rPr>
          <w:rFonts w:ascii="Times New Roman" w:hAnsi="Times New Roman" w:cs="Times New Roman"/>
          <w:sz w:val="24"/>
          <w:szCs w:val="24"/>
        </w:rPr>
        <w:t>4</w:t>
      </w:r>
    </w:p>
    <w:p w:rsidR="00755223" w:rsidRPr="000417B7" w:rsidRDefault="000417B7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2.2</w:t>
      </w:r>
      <w:r w:rsidR="00755223" w:rsidRPr="000417B7">
        <w:rPr>
          <w:rFonts w:ascii="Times New Roman" w:hAnsi="Times New Roman" w:cs="Times New Roman"/>
          <w:sz w:val="24"/>
          <w:szCs w:val="24"/>
        </w:rPr>
        <w:t>Разрывы со смещениями (дизъюнктивные дислокации) ……….. ……………</w:t>
      </w:r>
      <w:r>
        <w:rPr>
          <w:rFonts w:ascii="Times New Roman" w:hAnsi="Times New Roman" w:cs="Times New Roman"/>
          <w:sz w:val="24"/>
          <w:szCs w:val="24"/>
        </w:rPr>
        <w:t>……………….</w:t>
      </w:r>
      <w:r w:rsidR="006B7576">
        <w:rPr>
          <w:rFonts w:ascii="Times New Roman" w:hAnsi="Times New Roman" w:cs="Times New Roman"/>
          <w:sz w:val="24"/>
          <w:szCs w:val="24"/>
        </w:rPr>
        <w:t>7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 </w:t>
      </w:r>
      <w:r w:rsidR="00755223" w:rsidRPr="006B7576">
        <w:rPr>
          <w:rFonts w:ascii="Times New Roman" w:hAnsi="Times New Roman" w:cs="Times New Roman"/>
          <w:sz w:val="24"/>
          <w:szCs w:val="24"/>
        </w:rPr>
        <w:t>Методика проведения лабораторной работы …………………………………</w:t>
      </w:r>
      <w:r w:rsidR="000417B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3.1</w:t>
      </w:r>
      <w:r w:rsidR="00755223" w:rsidRPr="000417B7">
        <w:rPr>
          <w:rFonts w:ascii="Times New Roman" w:hAnsi="Times New Roman" w:cs="Times New Roman"/>
          <w:sz w:val="24"/>
          <w:szCs w:val="24"/>
        </w:rPr>
        <w:t>Исходные данные для проведения  занятия …………………………………...</w:t>
      </w:r>
      <w:r w:rsidR="000417B7">
        <w:rPr>
          <w:rFonts w:ascii="Times New Roman" w:hAnsi="Times New Roman" w:cs="Times New Roman"/>
          <w:sz w:val="24"/>
          <w:szCs w:val="24"/>
        </w:rPr>
        <w:t>.........................</w:t>
      </w:r>
      <w:r>
        <w:rPr>
          <w:rFonts w:ascii="Times New Roman" w:hAnsi="Times New Roman" w:cs="Times New Roman"/>
          <w:sz w:val="24"/>
          <w:szCs w:val="24"/>
        </w:rPr>
        <w:t>9</w:t>
      </w:r>
    </w:p>
    <w:p w:rsidR="00755223" w:rsidRPr="000417B7" w:rsidRDefault="006B7576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755223" w:rsidRPr="000417B7">
        <w:rPr>
          <w:rFonts w:ascii="Times New Roman" w:hAnsi="Times New Roman" w:cs="Times New Roman"/>
          <w:sz w:val="24"/>
          <w:szCs w:val="24"/>
        </w:rPr>
        <w:t>Методика расшифровки геологического строения участка ….. ……………</w:t>
      </w:r>
      <w:r w:rsidR="000417B7">
        <w:rPr>
          <w:rFonts w:ascii="Times New Roman" w:hAnsi="Times New Roman" w:cs="Times New Roman"/>
          <w:sz w:val="24"/>
          <w:szCs w:val="24"/>
        </w:rPr>
        <w:t>…………………</w:t>
      </w:r>
      <w:r>
        <w:rPr>
          <w:rFonts w:ascii="Times New Roman" w:hAnsi="Times New Roman" w:cs="Times New Roman"/>
          <w:sz w:val="24"/>
          <w:szCs w:val="24"/>
        </w:rPr>
        <w:t>10</w:t>
      </w:r>
    </w:p>
    <w:p w:rsidR="00755223" w:rsidRPr="000417B7" w:rsidRDefault="006B7576" w:rsidP="00AF623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755223" w:rsidRPr="000417B7">
        <w:rPr>
          <w:rFonts w:ascii="Times New Roman" w:hAnsi="Times New Roman" w:cs="Times New Roman"/>
          <w:sz w:val="24"/>
          <w:szCs w:val="24"/>
        </w:rPr>
        <w:t>Текстовая часть работы (краткая характеристика стратиграфии, тектоники</w:t>
      </w:r>
      <w:r w:rsidR="00AF6237">
        <w:rPr>
          <w:rFonts w:ascii="Times New Roman" w:hAnsi="Times New Roman" w:cs="Times New Roman"/>
          <w:sz w:val="24"/>
          <w:szCs w:val="24"/>
        </w:rPr>
        <w:t xml:space="preserve"> </w:t>
      </w:r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и     </w:t>
      </w:r>
      <w:proofErr w:type="spellStart"/>
      <w:r w:rsidR="00755223" w:rsidRPr="000417B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="00755223" w:rsidRPr="000417B7">
        <w:rPr>
          <w:rFonts w:ascii="Times New Roman" w:hAnsi="Times New Roman" w:cs="Times New Roman"/>
          <w:sz w:val="24"/>
          <w:szCs w:val="24"/>
        </w:rPr>
        <w:t xml:space="preserve"> объе</w:t>
      </w:r>
      <w:r w:rsidR="00AF6237">
        <w:rPr>
          <w:rFonts w:ascii="Times New Roman" w:hAnsi="Times New Roman" w:cs="Times New Roman"/>
          <w:sz w:val="24"/>
          <w:szCs w:val="24"/>
        </w:rPr>
        <w:t>кта) ………………………………………………………………………………………………..</w:t>
      </w:r>
      <w:r>
        <w:rPr>
          <w:rFonts w:ascii="Times New Roman" w:hAnsi="Times New Roman" w:cs="Times New Roman"/>
          <w:sz w:val="24"/>
          <w:szCs w:val="24"/>
        </w:rPr>
        <w:t>12</w:t>
      </w:r>
    </w:p>
    <w:p w:rsidR="00755223" w:rsidRPr="006B7576" w:rsidRDefault="006B7576" w:rsidP="006B757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 </w:t>
      </w:r>
      <w:r w:rsidR="00755223" w:rsidRPr="006B7576">
        <w:rPr>
          <w:rFonts w:ascii="Times New Roman" w:hAnsi="Times New Roman" w:cs="Times New Roman"/>
          <w:sz w:val="24"/>
          <w:szCs w:val="24"/>
        </w:rPr>
        <w:t>Контрольные вопросы …………………………………………….……………</w:t>
      </w:r>
      <w:r w:rsidR="00AF6237" w:rsidRPr="006B7576">
        <w:rPr>
          <w:rFonts w:ascii="Times New Roman" w:hAnsi="Times New Roman" w:cs="Times New Roman"/>
          <w:sz w:val="24"/>
          <w:szCs w:val="24"/>
        </w:rPr>
        <w:t>………………</w:t>
      </w:r>
      <w:r>
        <w:rPr>
          <w:rFonts w:ascii="Times New Roman" w:hAnsi="Times New Roman" w:cs="Times New Roman"/>
          <w:sz w:val="24"/>
          <w:szCs w:val="24"/>
        </w:rPr>
        <w:t>…..13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417B7">
        <w:rPr>
          <w:rFonts w:ascii="Times New Roman" w:hAnsi="Times New Roman" w:cs="Times New Roman"/>
          <w:sz w:val="24"/>
          <w:szCs w:val="24"/>
        </w:rPr>
        <w:t>Список использованных источников …………………………………... ……………</w:t>
      </w:r>
      <w:r w:rsidR="00AF6237">
        <w:rPr>
          <w:rFonts w:ascii="Times New Roman" w:hAnsi="Times New Roman" w:cs="Times New Roman"/>
          <w:sz w:val="24"/>
          <w:szCs w:val="24"/>
        </w:rPr>
        <w:t>……………</w:t>
      </w:r>
      <w:r w:rsidR="006B7576">
        <w:rPr>
          <w:rFonts w:ascii="Times New Roman" w:hAnsi="Times New Roman" w:cs="Times New Roman"/>
          <w:sz w:val="24"/>
          <w:szCs w:val="24"/>
        </w:rPr>
        <w:t>..14</w:t>
      </w: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0417B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0417B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55223" w:rsidRPr="00755223" w:rsidRDefault="00755223" w:rsidP="007552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F6237" w:rsidRDefault="00AF6237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55223" w:rsidRPr="00755223" w:rsidRDefault="00755223" w:rsidP="00755223">
      <w:pPr>
        <w:tabs>
          <w:tab w:val="left" w:pos="9495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55223">
        <w:rPr>
          <w:rFonts w:ascii="Times New Roman" w:hAnsi="Times New Roman" w:cs="Times New Roman"/>
          <w:b/>
          <w:sz w:val="28"/>
          <w:szCs w:val="28"/>
        </w:rPr>
        <w:tab/>
      </w: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1 Общие сведения о курсе дисциплины  </w:t>
      </w:r>
    </w:p>
    <w:p w:rsidR="00AF6237" w:rsidRPr="000417B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AF6237" w:rsidRP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В методических   указаниях  рассматривается  методика расшифровки геологического  строения территорий, осложненных складчатыми и разрывными дислокациями. Приводится схема  описания  основных  разделов  геологического отчета (стратиграфия, тектоника,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 по  учебной геологической карте.</w:t>
      </w:r>
    </w:p>
    <w:p w:rsidR="00AF6237" w:rsidRDefault="00AF6237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Методические  указания  предназначены для проведения   лабораторной  работы № 4 «Расшифровка  геологических  карт,  построение  разрезов  и стратиграфических   колонок  со складчатым  залеганием пород»  для студентов  2специальностей: Геологическая съемка, поиски и  разведка  месторождений  полезных ископаемых, Геология нефти и газа, Поиски и разведка подземных вод и инженерно-геологические изыскания.</w:t>
      </w:r>
    </w:p>
    <w:p w:rsid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B7576" w:rsidRPr="006B7576" w:rsidRDefault="006B7576" w:rsidP="00AF6237">
      <w:pPr>
        <w:spacing w:after="0" w:line="240" w:lineRule="auto"/>
        <w:ind w:right="282"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2 Методические указания к практическим занятиям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AF6237" w:rsidP="00755223">
      <w:pPr>
        <w:spacing w:after="0"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6B7576">
        <w:rPr>
          <w:rFonts w:ascii="Times New Roman" w:hAnsi="Times New Roman" w:cs="Times New Roman"/>
          <w:b/>
          <w:sz w:val="24"/>
          <w:szCs w:val="24"/>
        </w:rPr>
        <w:t>.1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5223" w:rsidRPr="00AF6237">
        <w:rPr>
          <w:rFonts w:ascii="Times New Roman" w:hAnsi="Times New Roman" w:cs="Times New Roman"/>
          <w:b/>
          <w:sz w:val="24"/>
          <w:szCs w:val="24"/>
        </w:rPr>
        <w:t>Складчатые формы залегания горных пород  (пликативные дислокации)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Смятые в складки породы имеют самый разнообразный возраст и встречаются чрезвычайно широко. Они повсеместно наблюдаются в Средней Азии, на Урале, Восточной Сибири и в других горных областях.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i/>
          <w:sz w:val="24"/>
          <w:szCs w:val="24"/>
        </w:rPr>
        <w:t xml:space="preserve">                       Складки и их элементы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b/>
          <w:i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 xml:space="preserve">Складками называются волнообразные изгибы в слоистых толщах, образующиеся при пластических деформациях горных пород. Совокупность складок образует складчатость.  Среди складок выделяются две основных разновидности: антиклинальные  и синклинальные складки. Антиклинальными складками (антиклиналями) называются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изгибы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 центральных частях которых располагаются наиболее древние породы относительно их краевых периферических частей.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Наоборот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 синклинальных складках центральные части сложены породами наиболее молодыми по сравнению с таковыми их краевых частей (рисунок 1.1).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984500" cy="1104265"/>
            <wp:effectExtent l="1905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0" cy="1104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B766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1.1 – Антиклинальная (А) и синклинальная (В)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В складке выделяются следующие элементы (рисунок 1.2). Часть складки в месте перегиба слоев называется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замком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сводом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Боковые части (а) примыкающие к своду называются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крыльями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Плоскость (АВСД), проходящая  через  точки  перегиба  слоев  является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осевой  </w:t>
      </w: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i/>
          <w:sz w:val="24"/>
          <w:szCs w:val="24"/>
        </w:rPr>
        <w:t>поверхностью складки.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Линия пересечения осевой поверхности с поверхностью рельефа (СД) представляет собой </w:t>
      </w:r>
      <w:r w:rsidRPr="00AF6237">
        <w:rPr>
          <w:rFonts w:ascii="Times New Roman" w:hAnsi="Times New Roman" w:cs="Times New Roman"/>
          <w:i/>
          <w:sz w:val="24"/>
          <w:szCs w:val="24"/>
        </w:rPr>
        <w:t>осевую линию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или </w:t>
      </w:r>
      <w:r w:rsidRPr="00AF6237">
        <w:rPr>
          <w:rFonts w:ascii="Times New Roman" w:hAnsi="Times New Roman" w:cs="Times New Roman"/>
          <w:i/>
          <w:sz w:val="24"/>
          <w:szCs w:val="24"/>
        </w:rPr>
        <w:t>ось</w:t>
      </w:r>
      <w:r w:rsidRPr="00AF6237">
        <w:rPr>
          <w:rFonts w:ascii="Times New Roman" w:hAnsi="Times New Roman" w:cs="Times New Roman"/>
          <w:sz w:val="24"/>
          <w:szCs w:val="24"/>
        </w:rPr>
        <w:t xml:space="preserve">. Линия, образуемая в месте пресечения осевой поверхности с поверхностью перегиба одного из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слоев, составляющих складку называется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шарниром </w:t>
      </w:r>
      <w:r w:rsidRPr="00AF6237">
        <w:rPr>
          <w:rFonts w:ascii="Times New Roman" w:hAnsi="Times New Roman" w:cs="Times New Roman"/>
          <w:sz w:val="24"/>
          <w:szCs w:val="24"/>
        </w:rPr>
        <w:t xml:space="preserve">(АВ). Расстояние вдоль осевой линии между пунктами однозначных перегибов шарнира является </w:t>
      </w:r>
      <w:r w:rsidRPr="00AF6237">
        <w:rPr>
          <w:rFonts w:ascii="Times New Roman" w:hAnsi="Times New Roman" w:cs="Times New Roman"/>
          <w:i/>
          <w:sz w:val="24"/>
          <w:szCs w:val="24"/>
        </w:rPr>
        <w:t>длиной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; </w:t>
      </w:r>
      <w:r w:rsidRPr="00AF6237">
        <w:rPr>
          <w:rFonts w:ascii="Times New Roman" w:hAnsi="Times New Roman" w:cs="Times New Roman"/>
          <w:i/>
          <w:sz w:val="24"/>
          <w:szCs w:val="24"/>
        </w:rPr>
        <w:t>ширина складки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расстояние между осевыми линиями двух соседних антиклиналей или синклиналей</w:t>
      </w:r>
      <w:r w:rsidRPr="00AF6237">
        <w:rPr>
          <w:rFonts w:ascii="Times New Roman" w:hAnsi="Times New Roman" w:cs="Times New Roman"/>
          <w:i/>
          <w:sz w:val="24"/>
          <w:szCs w:val="24"/>
        </w:rPr>
        <w:t>; высотой</w:t>
      </w:r>
      <w:r w:rsidRPr="00AF6237">
        <w:rPr>
          <w:rFonts w:ascii="Times New Roman" w:hAnsi="Times New Roman" w:cs="Times New Roman"/>
          <w:sz w:val="24"/>
          <w:szCs w:val="24"/>
        </w:rPr>
        <w:t xml:space="preserve"> – длина по вертикали между замком антиклинали и замком смежной с ним синклинали, измеренные по одному и тому же слою.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2596515" cy="2380615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6515" cy="23806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1.2 – Элементы складки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Изменение угла наклона шарнира в пространстве является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ундуляцией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шарнира,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которая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приводит к образованию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брахиформных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куполовидных складчатых структур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положению осевой поверхности выделяют симметричные, наклонные, опрокинутые и лежачие складки (рисунок 1.3).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форме замка различаются: острые складки  с углом меньше 90 градусов, тупые складки с углом более 90 градусов, сундучные (или коробчатые) складки с плоскими замками и крутыми крыльями.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304665" cy="5598795"/>
            <wp:effectExtent l="19050" t="0" r="63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4665" cy="5598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1- симметричные складки; 2 – ассиметричные складки; 3 – наклонные складки; 4 – опрокинутые складки в вертикальном разрезе; 5 – опрокинутые складки (на блок-диаграмме); 6 – опрокинутые складки в плане; 7 – лежачие складки; 8 – ныряющие складки (изображены разрезы).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1.3 – Деление складок по положению осевой поверхности 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По соотношению пород между крыльями выделяются складки: простые, прямые изоклинальные, опрокинутые изоклинальные, веерообразные и веерообразные складки с пережатым ядром (рисунок 1.4).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lastRenderedPageBreak/>
        <w:drawing>
          <wp:inline distT="0" distB="0" distL="0" distR="0">
            <wp:extent cx="3554095" cy="2466975"/>
            <wp:effectExtent l="19050" t="0" r="825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4095" cy="2466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простые складки,  2 – складки прямые изоклинальные, 3 – опрокинутые изоклинальные, 4 – веерообразные, 5- веерообразные складки с пережатым ядром.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1.4– Деление складок по соотношению пород между крыльями [4]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Коленообразный изгиб складки называется флексурой (рисунок 1.5)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color w:val="000000"/>
          <w:sz w:val="24"/>
          <w:szCs w:val="24"/>
        </w:rPr>
        <w:drawing>
          <wp:inline distT="0" distB="0" distL="0" distR="0">
            <wp:extent cx="3234690" cy="2096135"/>
            <wp:effectExtent l="19050" t="0" r="381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4690" cy="20961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 1.5 – Флексура [3]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положение складок в земной коре оказывают большое влияние  их шарниры. На поверхности земли при горизонтальных шарнирах их крылья  параллельны осевой линии. Там где шарнир погружается или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воздымается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слои огибают осевую линию. Участки антиклинальных складок, на которых шарнир наклонен, носят название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периклинального</w:t>
      </w:r>
      <w:proofErr w:type="spellEnd"/>
      <w:r w:rsidRPr="00AF6237">
        <w:rPr>
          <w:rFonts w:ascii="Times New Roman" w:hAnsi="Times New Roman" w:cs="Times New Roman"/>
          <w:i/>
          <w:sz w:val="24"/>
          <w:szCs w:val="24"/>
        </w:rPr>
        <w:t xml:space="preserve"> замыкания, </w:t>
      </w:r>
      <w:r w:rsidRPr="00AF6237">
        <w:rPr>
          <w:rFonts w:ascii="Times New Roman" w:hAnsi="Times New Roman" w:cs="Times New Roman"/>
          <w:sz w:val="24"/>
          <w:szCs w:val="24"/>
        </w:rPr>
        <w:t xml:space="preserve">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сиклинальных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складок –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центриклинального</w:t>
      </w:r>
      <w:proofErr w:type="spellEnd"/>
      <w:r w:rsidRPr="00AF6237">
        <w:rPr>
          <w:rFonts w:ascii="Times New Roman" w:hAnsi="Times New Roman" w:cs="Times New Roman"/>
          <w:i/>
          <w:sz w:val="24"/>
          <w:szCs w:val="24"/>
        </w:rPr>
        <w:t xml:space="preserve"> замыкания.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6B7576" w:rsidRDefault="00755223" w:rsidP="006B7576">
      <w:pPr>
        <w:pStyle w:val="a8"/>
        <w:numPr>
          <w:ilvl w:val="1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B7576">
        <w:rPr>
          <w:rFonts w:ascii="Times New Roman" w:hAnsi="Times New Roman" w:cs="Times New Roman"/>
          <w:b/>
          <w:sz w:val="24"/>
          <w:szCs w:val="24"/>
        </w:rPr>
        <w:t>Разрывы со смещением (дизъюнктивные дислокации)</w:t>
      </w:r>
    </w:p>
    <w:p w:rsidR="00755223" w:rsidRPr="00AF6237" w:rsidRDefault="00755223" w:rsidP="00755223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В природе выделяются многочисленные типы разрывных дислокаций, таких как сбросы, взбросы, сдвиги, надвиги и т.д. Ниже приводится краткая характеристика их основных типов.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>Сбросы.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Сбросами   называются   нарушения,   в  которых  поверхность разрыва наклонена в сторону расположения опущенных пород (рисунок 2.1).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708910" cy="148399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8910" cy="1483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2.1 – Схема сброса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 сбросах различаются следующие элементы: опущенное или висячее крыло (А), приподнятое или  лежачее  крыло (Б), смеситель (В); амплитуды смещения: а – истинная, в – вертикальная, с – горизонтальная.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По углу наклона смесителя выделяются: пологие сбросы с углом наклона смесителя до 30 градусов; крутые – с углом наклона 30-80 градусов и вертикальные – с углом 80-90 градусов.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По отношению к простиранию нарушенных пород различаются: продольные сбросы, у которых общее простирание смесителя совпадает с простиранием нарушенных пород; косые (диагональные) сбросы, смеситель которых ориентирован под углом к простиранию пород, и поперечные сбросы, направленные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вкрест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простирания пород.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i/>
          <w:sz w:val="24"/>
          <w:szCs w:val="24"/>
        </w:rPr>
        <w:t>Взбросы.</w:t>
      </w:r>
      <w:r w:rsidRPr="00AF6237">
        <w:rPr>
          <w:rFonts w:ascii="Times New Roman" w:hAnsi="Times New Roman" w:cs="Times New Roman"/>
          <w:sz w:val="24"/>
          <w:szCs w:val="24"/>
        </w:rPr>
        <w:t xml:space="preserve"> Взбросами называются нарушения, в которых поверхность разрыва наклонена в сторону расположения приподнятых пород. В сбросах различаются следующие элементы (рисунок 2.2): опущенное или лежачее крыло (А), приподнятое или висячее крыло (В), плоскость смесителя (В).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Классификация взбросов аналогична таковой сбросов. Выделяются пологие взбросы с углом наклона до 30 градусов, крутые о 30 до 80 градусов и вертикальные с углом наклона смесителя  80-90 градусов. По отношению направления смесителя к простиранию пород различаются согласные, косые (диагональные) и  поперечные  взбросы. Очень  пологие взбросы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надвигов.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079750" cy="1768475"/>
            <wp:effectExtent l="19050" t="0" r="635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750" cy="1768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 – опущенный блок; Б – взброшенный блок; В – плоскость смесителя; а – истинная амплитуда смещения, в – вертикальная, с – горизонтальная.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2.2 – Схема взброса в разрезе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Сбросы и взбросы нередко развиваются группами, охватывающими большие территории. Широко распространенные группы сбросов носят название </w:t>
      </w:r>
      <w:r w:rsidRPr="00AF6237">
        <w:rPr>
          <w:rFonts w:ascii="Times New Roman" w:hAnsi="Times New Roman" w:cs="Times New Roman"/>
          <w:i/>
          <w:sz w:val="24"/>
          <w:szCs w:val="24"/>
        </w:rPr>
        <w:t>грабенов</w:t>
      </w:r>
      <w:r w:rsidRPr="00AF6237">
        <w:rPr>
          <w:rFonts w:ascii="Times New Roman" w:hAnsi="Times New Roman" w:cs="Times New Roman"/>
          <w:sz w:val="24"/>
          <w:szCs w:val="24"/>
        </w:rPr>
        <w:t xml:space="preserve">, а взбросов – </w:t>
      </w:r>
      <w:r w:rsidRPr="00AF6237">
        <w:rPr>
          <w:rFonts w:ascii="Times New Roman" w:hAnsi="Times New Roman" w:cs="Times New Roman"/>
          <w:i/>
          <w:sz w:val="24"/>
          <w:szCs w:val="24"/>
        </w:rPr>
        <w:t>горстов.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Сдвиги.</w:t>
      </w:r>
      <w:r w:rsidRPr="00AF6237">
        <w:rPr>
          <w:rFonts w:ascii="Times New Roman" w:hAnsi="Times New Roman" w:cs="Times New Roman"/>
          <w:sz w:val="24"/>
          <w:szCs w:val="24"/>
        </w:rPr>
        <w:t xml:space="preserve"> Сдвигами называются разрывы, смещения по которым происходят в горизонтальном направлении. В сдвигах различаются крылья, смеситель, угол наклона смесителя и амплитуда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смещения. По углу наклона смесителя (рисунок 2.3) сдвиги делятся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горизонтальные (0-10 градусов), пологие (10-45 градусов), крутые (45-80 градусов) и вертикальные (80-90 градусов).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4537710" cy="105219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7710" cy="1052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ab/>
        <w:t>Рисунок 2.3 – Вертикальный (1), наклонный (П) и горизонтальный (Ш)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сдвиги [3].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Сдвиги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как и взбросы бывают продольные, косые и поперечные. В плане различия между ними выглядят следующим образом (рисунок 2.4).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450590" cy="1509395"/>
            <wp:effectExtent l="1905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0590" cy="1509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2.4 – Схемы, иллюстрирующие различие в плане между сбросом (1) и сдвигом (П) [4].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  Методика проведения </w:t>
      </w:r>
      <w:r w:rsidR="006B7576">
        <w:rPr>
          <w:rFonts w:ascii="Times New Roman" w:hAnsi="Times New Roman" w:cs="Times New Roman"/>
          <w:b/>
          <w:sz w:val="24"/>
          <w:szCs w:val="24"/>
        </w:rPr>
        <w:t>практической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работы</w:t>
      </w:r>
    </w:p>
    <w:p w:rsidR="00755223" w:rsidRPr="00AF6237" w:rsidRDefault="00755223" w:rsidP="00755223">
      <w:pPr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3.1  Исходные данные для проведения занятия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Студентам  выдается  несколько  вариантов  заданий характеризующихся сходными решениями, но значительно отличающихся исходными параметрами. Ниже приводится один из таких вариантов (рисунок 3.1).</w:t>
      </w:r>
    </w:p>
    <w:p w:rsidR="00AF6237" w:rsidRPr="00AF6237" w:rsidRDefault="00AF6237" w:rsidP="00AF623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На геологической карте масштаба 1:10000 отображено сочетание ряда складчатых структур в породах карбона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с горизонтально залегающими породами миоцена. Комплекс нарушен вертикальным сбросом и сдвигом. Геофизическими исследованиями установлено на юго-западе территории в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 от  поверхности  наличие  гранитоидного  интрузива  предположительно верхнепалеозойского возраста. Требуется расшифровать особенности геологического строения участка, определить условия залегания слоев, тип и геологический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возраст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и величину смещения по ним. Составить геологические  разрезы 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колонку. Дать  краткую характеристику стратиграфии, тектоники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района.</w:t>
      </w:r>
    </w:p>
    <w:p w:rsidR="00AF6237" w:rsidRPr="00AF6237" w:rsidRDefault="00AF6237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5262245" cy="6866890"/>
            <wp:effectExtent l="1905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245" cy="686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1 - аргиллиты известковистые, 2 - конгломераты, 3 - песчаники, 4 - туфы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кислого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состава, 5 - сланцы глинистые, 6 - известняки, 7 - 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ороговикование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bCs/>
          <w:color w:val="000000"/>
          <w:sz w:val="24"/>
          <w:szCs w:val="24"/>
        </w:rPr>
        <w:t>пород на</w:t>
      </w:r>
      <w:r w:rsidRPr="00AF6237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t>контакте с гранитоидным интрузивом, 8 - границы стратиграфичес</w:t>
      </w:r>
      <w:r w:rsidRPr="00AF6237">
        <w:rPr>
          <w:rFonts w:ascii="Times New Roman" w:hAnsi="Times New Roman" w:cs="Times New Roman"/>
          <w:color w:val="000000"/>
          <w:sz w:val="24"/>
          <w:szCs w:val="24"/>
        </w:rPr>
        <w:softHyphen/>
        <w:t>ких подразделений , 9 - тектонические разрывы, 10 - линия разреза.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Рисунок 3.1 – Учебная геологическая карта участка (по М.М. Москвину, 1976)</w:t>
      </w:r>
    </w:p>
    <w:p w:rsidR="00755223" w:rsidRPr="00AF6237" w:rsidRDefault="00755223" w:rsidP="00AF623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3.2  Методика расшифровки геологического строения участка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Согласно методическому руководству [2,4] составляем топографический профиль по линии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А-Б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. На линию  профиля выносим границы стратиграфических подразделений. Левая (западная) часть участка, в которой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преобладают наиболее древние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</w:t>
      </w:r>
      <w:r w:rsidRPr="00AF6237">
        <w:rPr>
          <w:rFonts w:ascii="Times New Roman" w:hAnsi="Times New Roman" w:cs="Times New Roman"/>
          <w:sz w:val="24"/>
          <w:szCs w:val="24"/>
        </w:rPr>
        <w:lastRenderedPageBreak/>
        <w:t>представляет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собой антиклиналь.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А правая где превалируют верхнепермские образования – синклиналь, имеющую общее крыло с вышерассмотренной антиклиналью (рисунок 3.2).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Замерив графически по составленному геологическому разрезу мощности пород, слагающих каждую возрастную единицу, строим по методике [1,3]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литостратиграфическую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колонку объекта   (рисунок 3.3).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На юге площади отмечается сброс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запад-юго-западного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простирания и вертикального падения, представляющий собой в плане структуру аналогичную изображенной на рисунке 2.4 (1). Графически определяем по методике [4] его величину, которая составляет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. В центральной части объекта фиксируется горизонтальный правосторонний сдвиг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восток-северо-восточного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направления, величина которого легко определяется по карте и составляет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</w:t>
      </w: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5029200" cy="2423795"/>
            <wp:effectExtent l="1905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9200" cy="242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Условные обозначения на рисунке 3.1</w:t>
      </w:r>
    </w:p>
    <w:p w:rsidR="00755223" w:rsidRPr="00AF6237" w:rsidRDefault="00755223" w:rsidP="00755223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3.2 - Геологический разрез по линии</w:t>
      </w:r>
      <w:proofErr w:type="gram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А</w:t>
      </w:r>
      <w:proofErr w:type="gram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– Б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3200400" cy="4304665"/>
            <wp:effectExtent l="1905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4304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AF6237">
        <w:rPr>
          <w:rFonts w:ascii="Times New Roman" w:hAnsi="Times New Roman" w:cs="Times New Roman"/>
          <w:color w:val="000000"/>
          <w:sz w:val="24"/>
          <w:szCs w:val="24"/>
        </w:rPr>
        <w:t>Рисунок 3.3 —</w:t>
      </w:r>
      <w:proofErr w:type="spellStart"/>
      <w:r w:rsidRPr="00AF6237">
        <w:rPr>
          <w:rFonts w:ascii="Times New Roman" w:hAnsi="Times New Roman" w:cs="Times New Roman"/>
          <w:color w:val="000000"/>
          <w:sz w:val="24"/>
          <w:szCs w:val="24"/>
        </w:rPr>
        <w:t>Литостратиграфическая</w:t>
      </w:r>
      <w:proofErr w:type="spellEnd"/>
      <w:r w:rsidRPr="00AF6237">
        <w:rPr>
          <w:rFonts w:ascii="Times New Roman" w:hAnsi="Times New Roman" w:cs="Times New Roman"/>
          <w:color w:val="000000"/>
          <w:sz w:val="24"/>
          <w:szCs w:val="24"/>
        </w:rPr>
        <w:t xml:space="preserve"> колонка 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3.3  Текстовая часть работы (краткая характеристика стратиграфии, тектоники и </w:t>
      </w:r>
      <w:proofErr w:type="spellStart"/>
      <w:r w:rsidRPr="00AF6237">
        <w:rPr>
          <w:rFonts w:ascii="Times New Roman" w:hAnsi="Times New Roman" w:cs="Times New Roman"/>
          <w:b/>
          <w:sz w:val="24"/>
          <w:szCs w:val="24"/>
        </w:rPr>
        <w:t>магматизма</w:t>
      </w:r>
      <w:proofErr w:type="spellEnd"/>
      <w:r w:rsidRPr="00AF6237">
        <w:rPr>
          <w:rFonts w:ascii="Times New Roman" w:hAnsi="Times New Roman" w:cs="Times New Roman"/>
          <w:b/>
          <w:sz w:val="24"/>
          <w:szCs w:val="24"/>
        </w:rPr>
        <w:t xml:space="preserve"> объекта)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Стратиграфия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Отложения, слагающие рассматриваемую территорию представлены двумя структурными этажами – палеозойским (карбон,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) и мезозойским (неоген), разделенными между собой региональным стратиграфическим несогласием.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Нижний этаж сложен терригенно-карбонатными породами и туфами кислого состава, а верхний – глинисто-известковыми образованиями.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Нижний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Каменноугольная система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всеми тремя отделами, слагающими данную систему.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   отложения    слагаются  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среднеслоистыми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(мощности слоев 0.4-</w:t>
      </w:r>
      <w:smartTag w:uri="urn:schemas-microsoft-com:office:smarttags" w:element="metricconverter">
        <w:smartTagPr>
          <w:attr w:name="ProductID" w:val="0.6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0.6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) светло-серыми мелкозернистыми известняками. Размер зерен породы 0.1-</w:t>
      </w:r>
      <w:smartTag w:uri="urn:schemas-microsoft-com:office:smarttags" w:element="metricconverter">
        <w:smartTagPr>
          <w:attr w:name="ProductID" w:val="0.2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0.2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Порода состоит из зерен кальцита (85 %-90 %), в подчиненном количестве присутствуют доломит и тонкообломочный кварц. Мощность отложений 300-</w:t>
      </w:r>
      <w:smartTag w:uri="urn:schemas-microsoft-com:office:smarttags" w:element="metricconverter">
        <w:smartTagPr>
          <w:attr w:name="ProductID" w:val="3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350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Среднекаменноугольные образования согласно перекрывают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Представлены тонкослоистыми глинистыми сланцами с мощностью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слойков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0.2-</w:t>
      </w:r>
      <w:smartTag w:uri="urn:schemas-microsoft-com:office:smarttags" w:element="metricconverter">
        <w:smartTagPr>
          <w:attr w:name="ProductID" w:val="1.0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1.0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а отдельных пачек 3-</w:t>
      </w:r>
      <w:smartTag w:uri="urn:schemas-microsoft-com:office:smarttags" w:element="metricconverter">
        <w:smartTagPr>
          <w:attr w:name="ProductID" w:val="5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 Состоят из тонкочешуйчатых  каолинита  и серицита.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 Отмечаются  отдельные зернышки мелко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зернистого кварца. Структура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лепидобластическая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, текстура сланцеватая. Общая мощность подразделения 120-</w:t>
      </w:r>
      <w:smartTag w:uri="urn:schemas-microsoft-com:office:smarttags" w:element="metricconverter">
        <w:smartTagPr>
          <w:attr w:name="ProductID" w:val="1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Верхнекаменноугольные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породы – слоистые туфы кислого состава. Мощность осадков 75-</w:t>
      </w:r>
      <w:smartTag w:uri="urn:schemas-microsoft-com:office:smarttags" w:element="metricconverter">
        <w:smartTagPr>
          <w:attr w:name="ProductID" w:val="9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90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Пермская система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Р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Ранняя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Слагается ритмично переслаивающимися мелкозернистыми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олигомиктовыми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песчаниками.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Мощности отдельных пачек 5-</w:t>
      </w:r>
      <w:smartTag w:uri="urn:schemas-microsoft-com:office:smarttags" w:element="metricconverter">
        <w:smartTagPr>
          <w:attr w:name="ProductID" w:val="1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. Состоят из угловатых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полуокатанных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обломков кварца (75 %-80 %), полевых шпатов (5 %  -</w:t>
      </w:r>
      <w:proofErr w:type="gram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10 %), обломков кремнистых пород (до </w:t>
      </w:r>
      <w:smartTag w:uri="urn:schemas-microsoft-com:office:smarttags" w:element="metricconverter">
        <w:smartTagPr>
          <w:attr w:name="ProductID" w:val="1,0 м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1,0 мм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), единичных зерен циркона и турмалина.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Цемент поровый. Состав его глинисто-карбонатный. Текстура псаммитовая. Текстура слабо выраженная слоистая. Общая мощность пород 150-</w:t>
      </w:r>
      <w:smartTag w:uri="urn:schemas-microsoft-com:office:smarttags" w:element="metricconverter">
        <w:smartTagPr>
          <w:attr w:name="ProductID" w:val="20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200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Поздняя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пермь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Характеризуется грубообломочными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отложениями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представленными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мелкогалечными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конгломератами и крупнозернистыми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Конгломераты состоят из окатанных галек (1-</w:t>
      </w:r>
      <w:smartTag w:uri="urn:schemas-microsoft-com:office:smarttags" w:element="metricconverter">
        <w:smartTagPr>
          <w:attr w:name="ProductID" w:val="2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 различных пород: кремней, карбонатов,   вулканогенных   образований  и   кварца. Цемент  составляет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40 %-50 % от массы породы  Состав карбонатный.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Гравелиты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имеют аналогичный состав, но отличаются более мелким размером обломков (0.5-</w:t>
      </w:r>
      <w:smartTag w:uri="urn:schemas-microsoft-com:office:smarttags" w:element="metricconverter">
        <w:smartTagPr>
          <w:attr w:name="ProductID" w:val="0.8 с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0.8 см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). Мощность отложений достигает </w:t>
      </w:r>
      <w:smartTag w:uri="urn:schemas-microsoft-com:office:smarttags" w:element="metricconverter">
        <w:smartTagPr>
          <w:attr w:name="ProductID" w:val="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                                   Верхний структурный этаж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Сложен осадками миоцена (N1), состоящих из переслаивающихся тонкозернистых серых и темно-серых известняков и доломитов, общей мощностью 30-</w:t>
      </w:r>
      <w:smartTag w:uri="urn:schemas-microsoft-com:office:smarttags" w:element="metricconverter">
        <w:smartTagPr>
          <w:attr w:name="ProductID" w:val="4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40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, которые с размывом и угловым несогласием ложатся на породы верхней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Характеризуются горизонтальным залеганием. (Рисунок 3.3).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Примечание - Необходимые данные для абстрактного описания пород и минералов можно почерпнуть из лекций, геологического словаря, учебников по минералогии и петрографии.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AF6237">
        <w:rPr>
          <w:rFonts w:ascii="Times New Roman" w:hAnsi="Times New Roman" w:cs="Times New Roman"/>
          <w:i/>
          <w:sz w:val="24"/>
          <w:szCs w:val="24"/>
        </w:rPr>
        <w:t xml:space="preserve"> Тектоника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>Изучаемый компле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кс в стр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уктурном плане представляет собой полную складку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север-северо-западного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направления, представленную на западе участка антиклиналью, переходящей в синклиналь на востоке территории. Обе складки обладают симметричным строением. Западное крыло антиклинали довольно крутое (до 70 градусов), а восточное (общее с синклиналью) постепенно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выполаживается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до 30-40 градусов. Аналогичный наклон имеет и восточное крыло синклинали (рисунок 3.2).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  <w:t xml:space="preserve">Сбросом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запад-северо-западного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направления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донеогенового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возраста антиклиналь (в южной части площади) по нормали к ее оси разорвана на 2 части.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Слагающий ее северный блок по отношению к южному опущен по плоскости вертикального смесителя по отношению к южному на 70-</w:t>
      </w:r>
      <w:smartTag w:uri="urn:schemas-microsoft-com:office:smarttags" w:element="metricconverter">
        <w:smartTagPr>
          <w:attr w:name="ProductID" w:val="8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80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>, что четко проявлено в увеличении размаха крыльев антиклинали (рисунок 3.1) на крайнем юге площади [4].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Одновременно с этим северная часть территории правосторонним горизонтальным сдвигом смещена к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восток-юго-востоку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на 50-</w:t>
      </w:r>
      <w:smartTag w:uri="urn:schemas-microsoft-com:office:smarttags" w:element="metricconverter">
        <w:smartTagPr>
          <w:attr w:name="ProductID" w:val="6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60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(рисунок 3.1). Изучаемая площадь в целом характеризуется обращенным рельефом.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AF6237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Интрузивный </w:t>
      </w:r>
      <w:proofErr w:type="spellStart"/>
      <w:r w:rsidRPr="00AF6237">
        <w:rPr>
          <w:rFonts w:ascii="Times New Roman" w:hAnsi="Times New Roman" w:cs="Times New Roman"/>
          <w:i/>
          <w:sz w:val="24"/>
          <w:szCs w:val="24"/>
        </w:rPr>
        <w:t>магматизм</w:t>
      </w:r>
      <w:proofErr w:type="spellEnd"/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Нижнекаменноугольные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отложения на глубине 200-</w:t>
      </w:r>
      <w:smartTag w:uri="urn:schemas-microsoft-com:office:smarttags" w:element="metricconverter">
        <w:smartTagPr>
          <w:attr w:name="ProductID" w:val="250 м"/>
        </w:smartTagPr>
        <w:r w:rsidRPr="00AF6237">
          <w:rPr>
            <w:rFonts w:ascii="Times New Roman" w:hAnsi="Times New Roman" w:cs="Times New Roman"/>
            <w:sz w:val="24"/>
            <w:szCs w:val="24"/>
          </w:rPr>
          <w:t>250 м</w:t>
        </w:r>
      </w:smartTag>
      <w:r w:rsidRPr="00AF6237">
        <w:rPr>
          <w:rFonts w:ascii="Times New Roman" w:hAnsi="Times New Roman" w:cs="Times New Roman"/>
          <w:sz w:val="24"/>
          <w:szCs w:val="24"/>
        </w:rPr>
        <w:t xml:space="preserve"> в юго-западной части участка прорваны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гранитоидами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верхнепалеозойского возраста. Интрузивное тело представляет собой шток, диаметр которого достигает нескольких сотен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м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. На контакте с ним карбонатные породы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ороговикованы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 участками 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скарнированы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. Ожидается  наличие 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вольфрамового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оруденения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(рисунок 3.2).</w:t>
      </w: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4 Контрольные вопросы </w:t>
      </w:r>
    </w:p>
    <w:p w:rsidR="00755223" w:rsidRPr="00AF6237" w:rsidRDefault="00755223" w:rsidP="00755223">
      <w:pPr>
        <w:spacing w:after="0" w:line="240" w:lineRule="auto"/>
        <w:ind w:firstLine="70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left="705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4.1 Что такое складчатость и  каковы условия ее образования.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4.2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О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характеризуйте основные элементы складчатости</w:t>
      </w:r>
      <w:r w:rsidRPr="00AF6237">
        <w:rPr>
          <w:rFonts w:ascii="Times New Roman" w:hAnsi="Times New Roman" w:cs="Times New Roman"/>
          <w:b/>
          <w:sz w:val="24"/>
          <w:szCs w:val="24"/>
        </w:rPr>
        <w:t>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Pr="00AF6237">
        <w:rPr>
          <w:rFonts w:ascii="Times New Roman" w:hAnsi="Times New Roman" w:cs="Times New Roman"/>
          <w:sz w:val="24"/>
          <w:szCs w:val="24"/>
        </w:rPr>
        <w:t>4.3 Что представляют собой антиклинали и синклинали.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 4.4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акими параметрами определяется положение пласта в пространстве.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4.5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Периклинальное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центриклинальное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 замыкания. Их отличия.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4.6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акие существуют типы разрывных нарушений.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4.7 Что представляют собой сбросы, взбросы, грабены, горсты, сдвиги.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4.8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акие функции выполняет плоскость смесителя.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 xml:space="preserve">          4.9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 xml:space="preserve"> К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акова роль тектонических процессов в формировании полезных ископаемых.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                            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  <w:r w:rsidRPr="00AF6237">
        <w:rPr>
          <w:rFonts w:ascii="Times New Roman" w:hAnsi="Times New Roman" w:cs="Times New Roman"/>
          <w:sz w:val="24"/>
          <w:szCs w:val="24"/>
        </w:rPr>
        <w:tab/>
      </w:r>
    </w:p>
    <w:p w:rsidR="00755223" w:rsidRPr="00AF6237" w:rsidRDefault="00755223" w:rsidP="00AF623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lastRenderedPageBreak/>
        <w:t xml:space="preserve">                </w:t>
      </w:r>
      <w:r w:rsidRPr="00AF6237">
        <w:rPr>
          <w:rFonts w:ascii="Times New Roman" w:hAnsi="Times New Roman" w:cs="Times New Roman"/>
          <w:b/>
          <w:sz w:val="24"/>
          <w:szCs w:val="24"/>
        </w:rPr>
        <w:t>Список использованных источников</w:t>
      </w:r>
    </w:p>
    <w:p w:rsidR="00755223" w:rsidRPr="00AF6237" w:rsidRDefault="00755223" w:rsidP="007552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лабораторной работе № 2 Структурная геология»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В.Б. Черняхов. – Оренбург: ОГУ, 2002. – </w:t>
      </w:r>
    </w:p>
    <w:p w:rsidR="00755223" w:rsidRPr="00AF6237" w:rsidRDefault="00755223" w:rsidP="0075522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17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2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В.П. Методические указания к составлению курсового проекта «Геологическое картирование» /В.П.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Лощинин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 xml:space="preserve">, Н.П. </w:t>
      </w:r>
      <w:proofErr w:type="spellStart"/>
      <w:r w:rsidRPr="00AF6237">
        <w:rPr>
          <w:rFonts w:ascii="Times New Roman" w:hAnsi="Times New Roman" w:cs="Times New Roman"/>
          <w:sz w:val="24"/>
          <w:szCs w:val="24"/>
        </w:rPr>
        <w:t>Галянина</w:t>
      </w:r>
      <w:proofErr w:type="spellEnd"/>
      <w:r w:rsidRPr="00AF6237">
        <w:rPr>
          <w:rFonts w:ascii="Times New Roman" w:hAnsi="Times New Roman" w:cs="Times New Roman"/>
          <w:sz w:val="24"/>
          <w:szCs w:val="24"/>
        </w:rPr>
        <w:t>. – Оренбург: ОГУ, 2009. – 15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3 Первушин, Е.М. Структурная        геология     и      геологическое картирование: учебное пособие, /Е.М. Первушин: [б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.и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], 2003. – 70 с.</w:t>
      </w:r>
    </w:p>
    <w:p w:rsidR="00755223" w:rsidRPr="00AF6237" w:rsidRDefault="00755223" w:rsidP="0075522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AF6237">
        <w:rPr>
          <w:rFonts w:ascii="Times New Roman" w:hAnsi="Times New Roman" w:cs="Times New Roman"/>
          <w:sz w:val="24"/>
          <w:szCs w:val="24"/>
        </w:rPr>
        <w:t>4</w:t>
      </w:r>
      <w:r w:rsidRPr="00AF623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F6237">
        <w:rPr>
          <w:rFonts w:ascii="Times New Roman" w:hAnsi="Times New Roman" w:cs="Times New Roman"/>
          <w:sz w:val="24"/>
          <w:szCs w:val="24"/>
        </w:rPr>
        <w:t xml:space="preserve">Сапфиров, Г.Н. Структурная         геология      и      геологическое картирование /Г.Н. Сапфиров. – М.: Недра, 1982. – 246 </w:t>
      </w:r>
      <w:proofErr w:type="gramStart"/>
      <w:r w:rsidRPr="00AF6237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AF6237">
        <w:rPr>
          <w:rFonts w:ascii="Times New Roman" w:hAnsi="Times New Roman" w:cs="Times New Roman"/>
          <w:sz w:val="24"/>
          <w:szCs w:val="24"/>
        </w:rPr>
        <w:t>.</w:t>
      </w:r>
    </w:p>
    <w:p w:rsidR="00755223" w:rsidRPr="00AF6237" w:rsidRDefault="00755223" w:rsidP="00755223">
      <w:pPr>
        <w:spacing w:after="0"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</w:p>
    <w:p w:rsidR="00755223" w:rsidRPr="00AF6237" w:rsidRDefault="00755223" w:rsidP="00755223">
      <w:pPr>
        <w:rPr>
          <w:rFonts w:ascii="Times New Roman" w:hAnsi="Times New Roman" w:cs="Times New Roman"/>
          <w:sz w:val="24"/>
          <w:szCs w:val="24"/>
        </w:rPr>
      </w:pPr>
    </w:p>
    <w:p w:rsidR="00310D4E" w:rsidRPr="00AF6237" w:rsidRDefault="00310D4E">
      <w:pPr>
        <w:rPr>
          <w:rFonts w:ascii="Times New Roman" w:hAnsi="Times New Roman" w:cs="Times New Roman"/>
          <w:sz w:val="24"/>
          <w:szCs w:val="24"/>
        </w:rPr>
      </w:pPr>
    </w:p>
    <w:sectPr w:rsidR="00310D4E" w:rsidRPr="00AF6237" w:rsidSect="009338E7">
      <w:footerReference w:type="even" r:id="rId19"/>
      <w:footerReference w:type="default" r:id="rId20"/>
      <w:pgSz w:w="11906" w:h="16838"/>
      <w:pgMar w:top="1134" w:right="567" w:bottom="1134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10D4E" w:rsidRDefault="00310D4E" w:rsidP="00310D4E">
      <w:pPr>
        <w:spacing w:after="0" w:line="240" w:lineRule="auto"/>
      </w:pPr>
      <w:r>
        <w:separator/>
      </w:r>
    </w:p>
  </w:endnote>
  <w:endnote w:type="continuationSeparator" w:id="1">
    <w:p w:rsidR="00310D4E" w:rsidRDefault="00310D4E" w:rsidP="00310D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285B" w:rsidRDefault="00926FEE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4330DA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8285B" w:rsidRDefault="00C30A7E" w:rsidP="00DF654A">
    <w:pPr>
      <w:pStyle w:val="a3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4C3C" w:rsidRDefault="00926FEE" w:rsidP="00E14C3C">
    <w:pPr>
      <w:pStyle w:val="a3"/>
      <w:framePr w:wrap="around" w:vAnchor="text" w:hAnchor="margin" w:xAlign="outside" w:y="1"/>
      <w:rPr>
        <w:rStyle w:val="a5"/>
      </w:rPr>
    </w:pPr>
    <w:r>
      <w:rPr>
        <w:rStyle w:val="a5"/>
      </w:rPr>
      <w:fldChar w:fldCharType="begin"/>
    </w:r>
    <w:r w:rsidR="004330DA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C30A7E">
      <w:rPr>
        <w:rStyle w:val="a5"/>
        <w:noProof/>
      </w:rPr>
      <w:t>2</w:t>
    </w:r>
    <w:r>
      <w:rPr>
        <w:rStyle w:val="a5"/>
      </w:rPr>
      <w:fldChar w:fldCharType="end"/>
    </w:r>
  </w:p>
  <w:p w:rsidR="00E14C3C" w:rsidRDefault="00C30A7E" w:rsidP="00E14C3C">
    <w:pPr>
      <w:pStyle w:val="a3"/>
      <w:ind w:right="360" w:firstLine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10D4E" w:rsidRDefault="00310D4E" w:rsidP="00310D4E">
      <w:pPr>
        <w:spacing w:after="0" w:line="240" w:lineRule="auto"/>
      </w:pPr>
      <w:r>
        <w:separator/>
      </w:r>
    </w:p>
  </w:footnote>
  <w:footnote w:type="continuationSeparator" w:id="1">
    <w:p w:rsidR="00310D4E" w:rsidRDefault="00310D4E" w:rsidP="00310D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FA00FE"/>
    <w:multiLevelType w:val="hybridMultilevel"/>
    <w:tmpl w:val="1DB4FAF0"/>
    <w:lvl w:ilvl="0" w:tplc="9E50D536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8435E3"/>
    <w:multiLevelType w:val="multilevel"/>
    <w:tmpl w:val="0419001D"/>
    <w:styleLink w:val="1ai"/>
    <w:lvl w:ilvl="0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>
    <w:nsid w:val="159A5F0F"/>
    <w:multiLevelType w:val="hybridMultilevel"/>
    <w:tmpl w:val="F2426ABC"/>
    <w:lvl w:ilvl="0" w:tplc="2392DA5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372E8E"/>
    <w:multiLevelType w:val="multilevel"/>
    <w:tmpl w:val="85F47E0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50127BF6"/>
    <w:multiLevelType w:val="multilevel"/>
    <w:tmpl w:val="1524444C"/>
    <w:lvl w:ilvl="0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5">
    <w:nsid w:val="6ED77C0C"/>
    <w:multiLevelType w:val="multilevel"/>
    <w:tmpl w:val="68EA55A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  <w:b/>
      </w:rPr>
    </w:lvl>
  </w:abstractNum>
  <w:abstractNum w:abstractNumId="6">
    <w:nsid w:val="75017DA5"/>
    <w:multiLevelType w:val="hybridMultilevel"/>
    <w:tmpl w:val="5F06CA42"/>
    <w:lvl w:ilvl="0" w:tplc="591AAC44">
      <w:start w:val="2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  <w:sz w:val="3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B6E6EEC"/>
    <w:multiLevelType w:val="hybridMultilevel"/>
    <w:tmpl w:val="3EC44822"/>
    <w:lvl w:ilvl="0" w:tplc="98CC795A">
      <w:start w:val="1"/>
      <w:numFmt w:val="decimal"/>
      <w:lvlText w:val="%1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D102EE96">
      <w:numFmt w:val="none"/>
      <w:lvlText w:val=""/>
      <w:lvlJc w:val="left"/>
      <w:pPr>
        <w:tabs>
          <w:tab w:val="num" w:pos="360"/>
        </w:tabs>
      </w:pPr>
    </w:lvl>
    <w:lvl w:ilvl="2" w:tplc="74288634">
      <w:numFmt w:val="none"/>
      <w:lvlText w:val=""/>
      <w:lvlJc w:val="left"/>
      <w:pPr>
        <w:tabs>
          <w:tab w:val="num" w:pos="360"/>
        </w:tabs>
      </w:pPr>
    </w:lvl>
    <w:lvl w:ilvl="3" w:tplc="D7C8BA1C">
      <w:numFmt w:val="none"/>
      <w:lvlText w:val=""/>
      <w:lvlJc w:val="left"/>
      <w:pPr>
        <w:tabs>
          <w:tab w:val="num" w:pos="360"/>
        </w:tabs>
      </w:pPr>
    </w:lvl>
    <w:lvl w:ilvl="4" w:tplc="36CA635E">
      <w:numFmt w:val="none"/>
      <w:lvlText w:val=""/>
      <w:lvlJc w:val="left"/>
      <w:pPr>
        <w:tabs>
          <w:tab w:val="num" w:pos="360"/>
        </w:tabs>
      </w:pPr>
    </w:lvl>
    <w:lvl w:ilvl="5" w:tplc="9AC88308">
      <w:numFmt w:val="none"/>
      <w:lvlText w:val=""/>
      <w:lvlJc w:val="left"/>
      <w:pPr>
        <w:tabs>
          <w:tab w:val="num" w:pos="360"/>
        </w:tabs>
      </w:pPr>
    </w:lvl>
    <w:lvl w:ilvl="6" w:tplc="414201DE">
      <w:numFmt w:val="none"/>
      <w:lvlText w:val=""/>
      <w:lvlJc w:val="left"/>
      <w:pPr>
        <w:tabs>
          <w:tab w:val="num" w:pos="360"/>
        </w:tabs>
      </w:pPr>
    </w:lvl>
    <w:lvl w:ilvl="7" w:tplc="0AF6D2D2">
      <w:numFmt w:val="none"/>
      <w:lvlText w:val=""/>
      <w:lvlJc w:val="left"/>
      <w:pPr>
        <w:tabs>
          <w:tab w:val="num" w:pos="360"/>
        </w:tabs>
      </w:pPr>
    </w:lvl>
    <w:lvl w:ilvl="8" w:tplc="493031A4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4"/>
  </w:num>
  <w:num w:numId="5">
    <w:abstractNumId w:val="3"/>
  </w:num>
  <w:num w:numId="6">
    <w:abstractNumId w:val="2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55223"/>
    <w:rsid w:val="000417B7"/>
    <w:rsid w:val="002878B5"/>
    <w:rsid w:val="00310D4E"/>
    <w:rsid w:val="004330DA"/>
    <w:rsid w:val="006B7576"/>
    <w:rsid w:val="00755223"/>
    <w:rsid w:val="0090464B"/>
    <w:rsid w:val="00926FEE"/>
    <w:rsid w:val="00AF6237"/>
    <w:rsid w:val="00B766BA"/>
    <w:rsid w:val="00C30A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0D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5522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Нижний колонтитул Знак"/>
    <w:basedOn w:val="a0"/>
    <w:link w:val="a3"/>
    <w:rsid w:val="00755223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755223"/>
  </w:style>
  <w:style w:type="paragraph" w:styleId="a6">
    <w:name w:val="Balloon Text"/>
    <w:basedOn w:val="a"/>
    <w:link w:val="a7"/>
    <w:uiPriority w:val="99"/>
    <w:semiHidden/>
    <w:unhideWhenUsed/>
    <w:rsid w:val="007552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755223"/>
    <w:rPr>
      <w:rFonts w:ascii="Tahoma" w:hAnsi="Tahoma" w:cs="Tahoma"/>
      <w:sz w:val="16"/>
      <w:szCs w:val="16"/>
    </w:rPr>
  </w:style>
  <w:style w:type="paragraph" w:customStyle="1" w:styleId="ReportHead">
    <w:name w:val="Report_Head"/>
    <w:basedOn w:val="a"/>
    <w:link w:val="ReportHead0"/>
    <w:rsid w:val="00755223"/>
    <w:pPr>
      <w:spacing w:after="0" w:line="240" w:lineRule="auto"/>
      <w:jc w:val="center"/>
    </w:pPr>
    <w:rPr>
      <w:rFonts w:ascii="Times New Roman" w:eastAsia="Calibri" w:hAnsi="Times New Roman" w:cs="Times New Roman"/>
      <w:sz w:val="28"/>
      <w:lang w:eastAsia="en-US"/>
    </w:rPr>
  </w:style>
  <w:style w:type="character" w:customStyle="1" w:styleId="ReportHead0">
    <w:name w:val="Report_Head Знак"/>
    <w:basedOn w:val="a0"/>
    <w:link w:val="ReportHead"/>
    <w:rsid w:val="00755223"/>
    <w:rPr>
      <w:rFonts w:ascii="Times New Roman" w:eastAsia="Calibri" w:hAnsi="Times New Roman" w:cs="Times New Roman"/>
      <w:sz w:val="28"/>
      <w:lang w:eastAsia="en-US"/>
    </w:rPr>
  </w:style>
  <w:style w:type="paragraph" w:styleId="a8">
    <w:name w:val="List Paragraph"/>
    <w:basedOn w:val="a"/>
    <w:uiPriority w:val="34"/>
    <w:qFormat/>
    <w:rsid w:val="000417B7"/>
    <w:pPr>
      <w:ind w:left="720"/>
      <w:contextualSpacing/>
    </w:pPr>
  </w:style>
  <w:style w:type="numbering" w:styleId="1ai">
    <w:name w:val="Outline List 1"/>
    <w:basedOn w:val="a2"/>
    <w:uiPriority w:val="99"/>
    <w:semiHidden/>
    <w:unhideWhenUsed/>
    <w:rsid w:val="002878B5"/>
    <w:pPr>
      <w:numPr>
        <w:numId w:val="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14</Pages>
  <Words>2593</Words>
  <Characters>14781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RECEPTOR</dc:creator>
  <cp:keywords/>
  <dc:description/>
  <cp:lastModifiedBy>RECEPTOR</cp:lastModifiedBy>
  <cp:revision>7</cp:revision>
  <dcterms:created xsi:type="dcterms:W3CDTF">2019-10-09T13:27:00Z</dcterms:created>
  <dcterms:modified xsi:type="dcterms:W3CDTF">2019-10-09T14:49:00Z</dcterms:modified>
</cp:coreProperties>
</file>