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F71EC" w14:textId="77777777" w:rsidR="006B67C5" w:rsidRPr="00F62B9B" w:rsidRDefault="006B67C5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bookmarkStart w:id="0" w:name="_GoBack"/>
      <w:bookmarkEnd w:id="0"/>
      <w:r w:rsidRPr="00F62B9B">
        <w:rPr>
          <w:rFonts w:ascii="Times New Roman" w:hAnsi="Times New Roman"/>
          <w:b/>
          <w:bCs/>
          <w:i/>
          <w:iCs/>
        </w:rPr>
        <w:t>На правах рукописи</w:t>
      </w:r>
    </w:p>
    <w:p w14:paraId="00225942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Минобрнауки России</w:t>
      </w:r>
    </w:p>
    <w:p w14:paraId="40C6E975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9F6F4FD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14:paraId="02215AB7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высшего образования</w:t>
      </w:r>
    </w:p>
    <w:p w14:paraId="54A1D8EC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F62B9B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14:paraId="600BC9A6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3F43D612" w14:textId="77777777" w:rsidR="001526A4" w:rsidRPr="008D14E3" w:rsidRDefault="008D14E3" w:rsidP="001526A4">
      <w:pPr>
        <w:pStyle w:val="ReportHead"/>
        <w:suppressAutoHyphens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</w:rPr>
        <w:t>Кафедра экономики и организации производства</w:t>
      </w:r>
    </w:p>
    <w:p w14:paraId="2878588B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BE98478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8BBD5F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ECADD1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D50FA2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C5721F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AB7F8EA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ED4E0D4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7C20B37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2B9B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6A3533E4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1495DC" w14:textId="77777777" w:rsidR="006B67C5" w:rsidRPr="008D14E3" w:rsidRDefault="008D14E3" w:rsidP="00DE4DD2">
      <w:pPr>
        <w:pStyle w:val="ReportHead"/>
        <w:suppressAutoHyphens/>
        <w:spacing w:before="120"/>
        <w:rPr>
          <w:rFonts w:ascii="Times New Roman" w:hAnsi="Times New Roman"/>
          <w:i/>
          <w:iCs/>
        </w:rPr>
      </w:pPr>
      <w:bookmarkStart w:id="1" w:name="BookmarkWhereDelChr13"/>
      <w:bookmarkEnd w:id="1"/>
      <w:r w:rsidRPr="008D14E3">
        <w:rPr>
          <w:rFonts w:ascii="Times New Roman" w:hAnsi="Times New Roman"/>
          <w:i/>
        </w:rPr>
        <w:t>«Б1.Д.Б.26 Экономика и организация архитектурно-дизайнерского проектирования и строительства»</w:t>
      </w:r>
    </w:p>
    <w:p w14:paraId="2EC5DF35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7810B643" w14:textId="77777777"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Уровень высшего образования</w:t>
      </w:r>
    </w:p>
    <w:p w14:paraId="342D2984" w14:textId="77777777"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БАКАЛАВРИАТ</w:t>
      </w:r>
    </w:p>
    <w:p w14:paraId="439E8C7D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Направление подготовки</w:t>
      </w:r>
    </w:p>
    <w:p w14:paraId="34806197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07.03.03 Дизайн архитектурной среды</w:t>
      </w:r>
    </w:p>
    <w:p w14:paraId="3C2CB0F4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14:paraId="198D44FA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14:paraId="5B9BF778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971AFD5" w14:textId="77777777"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14:paraId="69732DCE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14:paraId="02B13738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63A00ABA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Квалификация</w:t>
      </w:r>
    </w:p>
    <w:p w14:paraId="0DC861EF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14:paraId="5B61C891" w14:textId="77777777"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Форма обучения</w:t>
      </w:r>
    </w:p>
    <w:p w14:paraId="51584C19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14:paraId="436C4ABA" w14:textId="77777777"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C7B8DC6" w14:textId="77777777"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1AFAB45B" w14:textId="77777777"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1EE5CF38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714B47BF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700C5143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23966051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5AF9C955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3BADADC7" w14:textId="77777777" w:rsidR="006B67C5" w:rsidRPr="00F62B9B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  <w:szCs w:val="24"/>
        </w:rPr>
        <w:t>Год набора 20</w:t>
      </w:r>
      <w:r w:rsidR="00E750F4">
        <w:rPr>
          <w:rFonts w:ascii="Times New Roman" w:hAnsi="Times New Roman" w:cs="Times New Roman"/>
          <w:sz w:val="24"/>
          <w:szCs w:val="24"/>
        </w:rPr>
        <w:t>20</w:t>
      </w:r>
    </w:p>
    <w:p w14:paraId="10F0745A" w14:textId="77777777"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3AC57FD" w14:textId="77777777"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35B88710" w14:textId="5071E215" w:rsidR="006B67C5" w:rsidRDefault="006B67C5" w:rsidP="00E750F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E750F4">
        <w:rPr>
          <w:rFonts w:ascii="Times New Roman" w:hAnsi="Times New Roman" w:cs="Times New Roman"/>
          <w:sz w:val="28"/>
          <w:szCs w:val="28"/>
        </w:rPr>
        <w:t>ыроваткина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0F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3A2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2237EC" w14:textId="77777777" w:rsidR="006B67C5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C81AAC" w14:textId="77777777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B40C54" w14:textId="77777777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49ED2C" w14:textId="77777777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1C9816" w14:textId="3CD99849" w:rsidR="001526A4" w:rsidRPr="001526A4" w:rsidRDefault="008D14E3" w:rsidP="001526A4">
      <w:pPr>
        <w:pStyle w:val="ReportHead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AC3A22">
        <w:rPr>
          <w:rFonts w:ascii="Times New Roman" w:hAnsi="Times New Roman"/>
        </w:rPr>
        <w:t>ческой теории, региональной и отраслевой экономики</w:t>
      </w:r>
    </w:p>
    <w:p w14:paraId="22035B70" w14:textId="77777777"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D78A30" w14:textId="77777777"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A4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68DD3D9C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A91725A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8DC90A9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0A64C15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6C18D4E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A56D4B5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02B08C2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DFBCEA0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03282ED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CD59DC9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A12D9C5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0394BC9" w14:textId="77777777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2F7910">
        <w:rPr>
          <w:rFonts w:ascii="Times New Roman" w:hAnsi="Times New Roman" w:cs="Times New Roman"/>
          <w:sz w:val="28"/>
          <w:szCs w:val="28"/>
        </w:rPr>
        <w:t>ю</w:t>
      </w:r>
      <w:r w:rsidRPr="00AE00F0">
        <w:rPr>
          <w:rFonts w:ascii="Times New Roman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DD2">
        <w:rPr>
          <w:rFonts w:ascii="Times New Roman" w:hAnsi="Times New Roman" w:cs="Times New Roman"/>
          <w:sz w:val="28"/>
          <w:szCs w:val="28"/>
        </w:rPr>
        <w:t>Экономика и организация архитектурно-дизайнерского проектирования и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00F0">
        <w:rPr>
          <w:rFonts w:ascii="Times New Roman" w:hAnsi="Times New Roman" w:cs="Times New Roman"/>
          <w:sz w:val="28"/>
          <w:szCs w:val="28"/>
        </w:rPr>
        <w:t xml:space="preserve">, зарегистрированной в ЦИТ под учетным номером___________ </w:t>
      </w:r>
      <w:r w:rsidRPr="00AE00F0">
        <w:rPr>
          <w:rFonts w:ascii="Times New Roman" w:hAnsi="Times New Roman" w:cs="Times New Roman"/>
        </w:rPr>
        <w:t xml:space="preserve"> </w:t>
      </w:r>
    </w:p>
    <w:p w14:paraId="711D232D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B67C5" w:rsidRPr="00CA460D" w14:paraId="4D3CAAEF" w14:textId="77777777">
        <w:tc>
          <w:tcPr>
            <w:tcW w:w="3522" w:type="dxa"/>
          </w:tcPr>
          <w:p w14:paraId="05DB684B" w14:textId="2C2F4C35" w:rsidR="006B67C5" w:rsidRPr="001526A4" w:rsidRDefault="006B67C5" w:rsidP="00E75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ыроваткина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3A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6726B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564CA2E" wp14:editId="7F89017D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13970" t="8255" r="13335" b="12065"/>
                      <wp:wrapNone/>
                      <wp:docPr id="1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21CB23C" id="Прямоугольник 5" o:spid="_x0000_s1026" style="position:absolute;margin-left:490.3pt;margin-top:26.2pt;width:34.6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" strokecolor="white" strokeweight="1pt">
                      <v:path arrowok="t"/>
                    </v:rect>
                  </w:pict>
                </mc:Fallback>
              </mc:AlternateConten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B67C5" w:rsidRPr="00CA460D" w14:paraId="7B4D0F3E" w14:textId="77777777">
        <w:tc>
          <w:tcPr>
            <w:tcW w:w="3522" w:type="dxa"/>
          </w:tcPr>
          <w:p w14:paraId="2B767AAD" w14:textId="77777777" w:rsidR="006B67C5" w:rsidRPr="00CA460D" w:rsidRDefault="002F7910" w:rsidP="00E750F4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14:paraId="564EB9E7" w14:textId="77777777" w:rsidR="006B67C5" w:rsidRDefault="006B67C5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3EC0D7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78BD7C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0A45E3" w14:textId="77777777" w:rsidR="006B67C5" w:rsidRDefault="006B6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72821CD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A5BDEA" w14:textId="77777777" w:rsidR="006B67C5" w:rsidRPr="00337F38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F38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4673B15E" w14:textId="77777777" w:rsidR="006B67C5" w:rsidRPr="000E7012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6B67C5" w:rsidRPr="00CA460D" w14:paraId="1D3F16BB" w14:textId="77777777">
        <w:tc>
          <w:tcPr>
            <w:tcW w:w="8931" w:type="dxa"/>
          </w:tcPr>
          <w:p w14:paraId="5F684A8C" w14:textId="77777777" w:rsidR="006B67C5" w:rsidRPr="00AE00F0" w:rsidRDefault="006B67C5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14:paraId="3F00D02D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6B67C5" w:rsidRPr="00CA460D" w14:paraId="1EE9854C" w14:textId="77777777">
        <w:tc>
          <w:tcPr>
            <w:tcW w:w="8931" w:type="dxa"/>
          </w:tcPr>
          <w:p w14:paraId="1857C93F" w14:textId="77777777" w:rsidR="006B67C5" w:rsidRPr="00AE00F0" w:rsidRDefault="006B67C5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7AD02A09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 w14:paraId="60F87AFC" w14:textId="77777777">
        <w:tc>
          <w:tcPr>
            <w:tcW w:w="8931" w:type="dxa"/>
          </w:tcPr>
          <w:p w14:paraId="7FAB68FB" w14:textId="77777777"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6DE7641C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 w14:paraId="1E19A68C" w14:textId="77777777">
        <w:tc>
          <w:tcPr>
            <w:tcW w:w="8931" w:type="dxa"/>
          </w:tcPr>
          <w:p w14:paraId="3792F648" w14:textId="77777777"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14:paraId="1BFEEEBE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 w14:paraId="153A530D" w14:textId="77777777">
        <w:tc>
          <w:tcPr>
            <w:tcW w:w="8931" w:type="dxa"/>
          </w:tcPr>
          <w:p w14:paraId="59171330" w14:textId="77777777" w:rsidR="006B67C5" w:rsidRPr="00AE00F0" w:rsidRDefault="006B67C5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CA460D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6547F978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 w14:paraId="533C6F16" w14:textId="77777777">
        <w:tc>
          <w:tcPr>
            <w:tcW w:w="8931" w:type="dxa"/>
          </w:tcPr>
          <w:p w14:paraId="7990E71F" w14:textId="77777777"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46FF8274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 w14:paraId="04FBCEDA" w14:textId="77777777">
        <w:tc>
          <w:tcPr>
            <w:tcW w:w="8931" w:type="dxa"/>
          </w:tcPr>
          <w:p w14:paraId="507E7BC1" w14:textId="77777777" w:rsidR="006B67C5" w:rsidRPr="00AE00F0" w:rsidRDefault="006B67C5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1F5E7002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 w14:paraId="00886F8D" w14:textId="77777777">
        <w:tc>
          <w:tcPr>
            <w:tcW w:w="8931" w:type="dxa"/>
          </w:tcPr>
          <w:p w14:paraId="4B3B37AB" w14:textId="77777777"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14:paraId="39D376FC" w14:textId="77777777"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6B67C5" w:rsidRPr="00CA460D" w14:paraId="46BC8800" w14:textId="77777777">
        <w:tc>
          <w:tcPr>
            <w:tcW w:w="8931" w:type="dxa"/>
          </w:tcPr>
          <w:p w14:paraId="0D2C2B13" w14:textId="77777777"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14:paraId="727D29E1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6B67C5" w:rsidRPr="00CA460D" w14:paraId="166D3895" w14:textId="77777777">
        <w:tc>
          <w:tcPr>
            <w:tcW w:w="8931" w:type="dxa"/>
          </w:tcPr>
          <w:p w14:paraId="49BA2F68" w14:textId="77777777" w:rsidR="006B67C5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06B98698" w14:textId="77777777"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14:paraId="77206AEA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B29B74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28224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7601D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3F2BDB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8212A6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125CF1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848675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27088E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FDF17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E5556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CB83B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74902B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B8835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510C6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16C9F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40F0CC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627E47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33E29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C498F6" w14:textId="77777777" w:rsidR="006B67C5" w:rsidRDefault="006B67C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92D0F0D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0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30A73EF7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274A06" w14:textId="77777777" w:rsidR="006B67C5" w:rsidRPr="005D7613" w:rsidRDefault="006B67C5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льство</w:t>
      </w:r>
      <w:r w:rsidRPr="005D7613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Pr="005D7613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ложным</w:t>
      </w:r>
      <w:r w:rsidRPr="005D7613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нным</w:t>
      </w:r>
      <w:r w:rsidRPr="005D7613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процессо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D7613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в ко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5D761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D761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увяза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Pr="005D761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5D761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5D7613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нное</w:t>
      </w:r>
      <w:r w:rsidRPr="005D7613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D7613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D7613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нем,</w:t>
      </w:r>
      <w:r w:rsidRPr="005D7613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зация</w:t>
      </w:r>
      <w:r w:rsidRPr="005D7613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системы</w:t>
      </w:r>
      <w:r w:rsidRPr="005D7613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кул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обсл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D4F75CF" w14:textId="77777777" w:rsidR="006B67C5" w:rsidRPr="005D7613" w:rsidRDefault="006B67C5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14:paraId="7C6777CA" w14:textId="77777777" w:rsidR="006B67C5" w:rsidRDefault="006B67C5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 xml:space="preserve">задача курса </w:t>
      </w:r>
      <w:r w:rsidRPr="002D5C19">
        <w:rPr>
          <w:rFonts w:ascii="Times New Roman" w:hAnsi="Times New Roman" w:cs="Times New Roman"/>
          <w:sz w:val="24"/>
          <w:szCs w:val="24"/>
        </w:rPr>
        <w:t>«Экономика и организация архитектурно-дизайнерского проектирования и строительства»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14:paraId="286B684F" w14:textId="77777777" w:rsidR="006B67C5" w:rsidRPr="008D14E3" w:rsidRDefault="006B67C5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8D14E3">
        <w:rPr>
          <w:rFonts w:ascii="Times New Roman" w:hAnsi="Times New Roman" w:cs="Times New Roman"/>
        </w:rPr>
        <w:t>Целью изучения дисциплины «Экономика и организация архитектурно-дизайнерского проектирования и строительства</w:t>
      </w:r>
      <w:r w:rsidRPr="008D14E3">
        <w:rPr>
          <w:rFonts w:ascii="Times New Roman" w:hAnsi="Times New Roman" w:cs="Times New Roman"/>
          <w:i/>
          <w:iCs/>
        </w:rPr>
        <w:t>»</w:t>
      </w:r>
      <w:r w:rsidRPr="008D14E3">
        <w:rPr>
          <w:rFonts w:ascii="Times New Roman" w:hAnsi="Times New Roman" w:cs="Times New Roman"/>
        </w:rPr>
        <w:t xml:space="preserve">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14:paraId="3B8D7624" w14:textId="77777777" w:rsidR="006B67C5" w:rsidRDefault="006B67C5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14:paraId="3CFA1BF2" w14:textId="77777777" w:rsidR="006B67C5" w:rsidRPr="005D7613" w:rsidRDefault="006B67C5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D7613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14:paraId="620ED6B9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14:paraId="6E505FCE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14:paraId="1C78518E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14:paraId="4EDD87D5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DE4DD2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14:paraId="23B0C8A7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14:paraId="500E7314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DE4DD2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архитектурно-дизайнерских решений на экономику градостроительства, строительства и эксплуатации зданий и 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</w:p>
    <w:p w14:paraId="556199E2" w14:textId="77777777" w:rsidR="008D14E3" w:rsidRPr="008D14E3" w:rsidRDefault="006B67C5" w:rsidP="008D14E3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  <w:szCs w:val="24"/>
        </w:rPr>
        <w:t>Процесс изучения дисциплины «Экономика и организация архитектурно-дизайнерского проектирования и строительства» направлен на формирование следующей компетенции в соответствии с ФГОС ВО и ООП ВО по направлению подготовки 07.03.0</w:t>
      </w:r>
      <w:r w:rsidR="008D14E3">
        <w:rPr>
          <w:rFonts w:ascii="Times New Roman" w:hAnsi="Times New Roman"/>
          <w:sz w:val="24"/>
          <w:szCs w:val="24"/>
        </w:rPr>
        <w:t>3</w:t>
      </w:r>
      <w:r w:rsidRPr="008D14E3">
        <w:rPr>
          <w:rFonts w:ascii="Times New Roman" w:hAnsi="Times New Roman"/>
          <w:sz w:val="24"/>
          <w:szCs w:val="24"/>
        </w:rPr>
        <w:t xml:space="preserve"> </w:t>
      </w:r>
      <w:r w:rsidR="008D14E3" w:rsidRPr="008D14E3">
        <w:rPr>
          <w:rFonts w:ascii="Times New Roman" w:hAnsi="Times New Roman"/>
          <w:sz w:val="24"/>
        </w:rPr>
        <w:t>Дизайн архитектурной среды</w:t>
      </w:r>
      <w:r w:rsidR="008D14E3">
        <w:rPr>
          <w:rFonts w:ascii="Times New Roman" w:hAnsi="Times New Roman"/>
          <w:sz w:val="24"/>
        </w:rPr>
        <w:t>:</w:t>
      </w:r>
    </w:p>
    <w:p w14:paraId="1C596838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УК-2 -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14:paraId="2CFFDC26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Индикаторов достижения компетенции УК-2:</w:t>
      </w:r>
    </w:p>
    <w:p w14:paraId="6EAD734C" w14:textId="77777777" w:rsidR="008D14E3" w:rsidRDefault="008D14E3" w:rsidP="008D14E3">
      <w:pPr>
        <w:pStyle w:val="ReportMain"/>
        <w:suppressAutoHyphens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УК-2-В-3 - применять элементы анализа, планирования и оценки рисков для выбора оптимальной стратегии развития и обоснования устойчивости проекта;</w:t>
      </w:r>
    </w:p>
    <w:p w14:paraId="0F2D0E1E" w14:textId="77777777" w:rsidR="006B67C5" w:rsidRPr="00023BD1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УК-2-В-4 - в рамках цели проекта опираться на правовые нормы основных отраслей российского законодательства при постановке целей и выборе оптимальных способов их </w:t>
      </w:r>
      <w:r>
        <w:rPr>
          <w:rFonts w:ascii="Times New Roman" w:hAnsi="Times New Roman" w:cs="Times New Roman"/>
          <w:sz w:val="24"/>
          <w:szCs w:val="24"/>
        </w:rPr>
        <w:lastRenderedPageBreak/>
        <w:t>достижения; обладать навыками использования нормативно-правовых ресурсов в разработке и реализации проектов.</w:t>
      </w:r>
    </w:p>
    <w:p w14:paraId="4E8350C4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Структура проведения </w:t>
      </w:r>
      <w:r>
        <w:rPr>
          <w:rFonts w:ascii="Times New Roman" w:hAnsi="Times New Roman" w:cs="Times New Roman"/>
          <w:sz w:val="24"/>
          <w:szCs w:val="24"/>
        </w:rPr>
        <w:t>практических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занятий включает в себя изучение основных положений, рассматриваемых тем, постановку и обсуждение вопросов для самопроверки обучающимися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</w:t>
      </w:r>
      <w:r w:rsidR="008D14E3">
        <w:rPr>
          <w:rFonts w:ascii="Times New Roman" w:hAnsi="Times New Roman" w:cs="Times New Roman"/>
          <w:sz w:val="24"/>
          <w:szCs w:val="24"/>
        </w:rPr>
        <w:t>и</w:t>
      </w:r>
      <w:r w:rsidRPr="000E7012">
        <w:rPr>
          <w:rFonts w:ascii="Times New Roman" w:hAnsi="Times New Roman" w:cs="Times New Roman"/>
          <w:sz w:val="24"/>
          <w:szCs w:val="24"/>
        </w:rPr>
        <w:t xml:space="preserve"> </w:t>
      </w:r>
      <w:r w:rsidR="008D14E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К-</w:t>
      </w:r>
      <w:r w:rsidR="008D14E3">
        <w:rPr>
          <w:rFonts w:ascii="Times New Roman" w:hAnsi="Times New Roman" w:cs="Times New Roman"/>
          <w:sz w:val="24"/>
          <w:szCs w:val="24"/>
        </w:rPr>
        <w:t>2</w:t>
      </w:r>
      <w:r w:rsidRPr="000E70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BE4E11" w14:textId="77777777" w:rsidR="008D14E3" w:rsidRPr="000E7012" w:rsidRDefault="008D14E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C59402" w14:textId="77777777" w:rsidR="006B67C5" w:rsidRPr="00AE00F0" w:rsidRDefault="006B67C5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14:paraId="07CBBC30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FF3E67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3409BB67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672AEB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34E664AB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5B0D229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0F0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6B7B20CB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6DA60AE6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15FCFCD6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257C6B25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31273645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4859C803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375AF7DA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37E33B17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235EB37B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03182C29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5162D665" w14:textId="77777777" w:rsidR="006B67C5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7C7AEB1" w14:textId="77777777"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14:paraId="2285B084" w14:textId="77777777"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Цель: изучить место и роль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развитии производства и общества</w:t>
      </w:r>
    </w:p>
    <w:p w14:paraId="7DD18739" w14:textId="77777777" w:rsidR="006B67C5" w:rsidRPr="00864C57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14:paraId="6A3D9CA7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Двойственный характер</w:t>
      </w:r>
      <w:r w:rsidRPr="00DE4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4DD2">
        <w:rPr>
          <w:rFonts w:ascii="Times New Roman" w:hAnsi="Times New Roman" w:cs="Times New Roman"/>
          <w:sz w:val="24"/>
          <w:szCs w:val="24"/>
        </w:rPr>
        <w:t xml:space="preserve">объектов архитектуры. </w:t>
      </w:r>
    </w:p>
    <w:p w14:paraId="58AF91C0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14:paraId="62775FD8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14:paraId="18A4CD4B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lastRenderedPageBreak/>
        <w:t xml:space="preserve">Ресурсы капитального строительства. </w:t>
      </w:r>
    </w:p>
    <w:p w14:paraId="05647856" w14:textId="77777777" w:rsidR="006B67C5" w:rsidRDefault="006B67C5" w:rsidP="00270EED">
      <w:pPr>
        <w:pStyle w:val="ReportMain"/>
        <w:suppressAutoHyphens/>
        <w:ind w:firstLine="709"/>
        <w:jc w:val="both"/>
        <w:rPr>
          <w:b/>
          <w:bCs/>
        </w:rPr>
      </w:pPr>
    </w:p>
    <w:p w14:paraId="7A6936A8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14:paraId="3162CCCF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 xml:space="preserve">Цель: </w:t>
      </w:r>
      <w:r w:rsidRPr="0013642F">
        <w:rPr>
          <w:rFonts w:ascii="Times New Roman" w:hAnsi="Times New Roman" w:cs="Times New Roman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14:paraId="3657EBC1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Понятие и классификация средств производства строительных и проектных организаций. </w:t>
      </w:r>
    </w:p>
    <w:p w14:paraId="65FC1AAF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Оценка основных фондов. Износ и амортизация основных фондов. </w:t>
      </w:r>
    </w:p>
    <w:p w14:paraId="1398A808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Показатели использования основных фондов.</w:t>
      </w:r>
    </w:p>
    <w:p w14:paraId="6273096E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Понятия, состав и структура оборотных средств. </w:t>
      </w:r>
    </w:p>
    <w:p w14:paraId="723DA896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 эффективности использования оборотных средств. </w:t>
      </w:r>
    </w:p>
    <w:p w14:paraId="42796459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Показатели, оценка и пути повышения эффективности использования оборотных средств. </w:t>
      </w:r>
    </w:p>
    <w:p w14:paraId="460B8CDD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Трудовые ресурсы строительных организаций. </w:t>
      </w:r>
    </w:p>
    <w:p w14:paraId="4427CEA8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Методы измерения производительности труда. </w:t>
      </w:r>
    </w:p>
    <w:p w14:paraId="462FCABD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Резервы и пути повышения производительности труда. </w:t>
      </w:r>
    </w:p>
    <w:p w14:paraId="328187FB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Нормирование труда, сущность, методы, виды норм. </w:t>
      </w:r>
    </w:p>
    <w:p w14:paraId="2E4A816D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14:paraId="7B53F2E2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E99C275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3. Финансирование и кредитование в строительстве</w:t>
      </w:r>
    </w:p>
    <w:p w14:paraId="4BC5F42B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</w:rPr>
        <w:t xml:space="preserve"> </w:t>
      </w:r>
      <w:r w:rsidRPr="0013642F">
        <w:rPr>
          <w:rFonts w:ascii="Times New Roman" w:hAnsi="Times New Roman" w:cs="Times New Roman"/>
          <w:i/>
          <w:iCs/>
        </w:rPr>
        <w:t>рассмотреть источники и реализацию финансирования и кредитования в строительстве</w:t>
      </w:r>
    </w:p>
    <w:p w14:paraId="04350485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14:paraId="00FB0F34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</w:rPr>
        <w:t>Фактор времени в строительстве.</w:t>
      </w:r>
      <w:r w:rsidRPr="0013642F">
        <w:rPr>
          <w:rFonts w:ascii="Times New Roman" w:hAnsi="Times New Roman" w:cs="Times New Roman"/>
          <w:b/>
          <w:bCs/>
        </w:rPr>
        <w:t xml:space="preserve"> </w:t>
      </w:r>
    </w:p>
    <w:p w14:paraId="3A82E9CD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Экономический эффект от досрочного ввода объекта в эксплуатацию. </w:t>
      </w:r>
    </w:p>
    <w:p w14:paraId="4B5021E2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Экономический эффект от сокращения продолжительности строительства.</w:t>
      </w:r>
    </w:p>
    <w:p w14:paraId="5C30BA2F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Экономическая оценка потерь от «замораживания» капитальных вложений. </w:t>
      </w:r>
    </w:p>
    <w:p w14:paraId="54638A2B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9B87F72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4. Основы ценообразования в строительстве</w:t>
      </w:r>
    </w:p>
    <w:p w14:paraId="05FDFA81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</w:rPr>
        <w:t xml:space="preserve"> </w:t>
      </w:r>
      <w:r w:rsidRPr="0013642F">
        <w:rPr>
          <w:rFonts w:ascii="Times New Roman" w:hAnsi="Times New Roman" w:cs="Times New Roman"/>
          <w:i/>
          <w:iCs/>
        </w:rPr>
        <w:t>рассмотреть особенности ценообразования в строительстве</w:t>
      </w:r>
    </w:p>
    <w:p w14:paraId="7B7FE247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Основы определения сметной стоимости строительной продукции. </w:t>
      </w:r>
    </w:p>
    <w:p w14:paraId="7418BF91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Расчёт цены инвестора. </w:t>
      </w:r>
    </w:p>
    <w:p w14:paraId="747A0E97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Модели формирования инвестиционной сметной стоимости строительства.</w:t>
      </w:r>
    </w:p>
    <w:p w14:paraId="098EACDF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Формирование договорных цен на строительно-монтажные работы.</w:t>
      </w:r>
    </w:p>
    <w:p w14:paraId="418A9DC9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7DD3F963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5. Порядок оценки архитектурно-проектных решений</w:t>
      </w:r>
    </w:p>
    <w:p w14:paraId="48135535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изучить этапы экспертизы архитектурно-проектных решений</w:t>
      </w:r>
    </w:p>
    <w:p w14:paraId="28B8B10A" w14:textId="77777777"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Этапы экономической работы при проектировании. </w:t>
      </w:r>
    </w:p>
    <w:p w14:paraId="506C9DDB" w14:textId="77777777"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Критерии оценки проектных решений. </w:t>
      </w:r>
    </w:p>
    <w:p w14:paraId="71F0B080" w14:textId="77777777"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Система технико-экономических показателей строительных проектов. </w:t>
      </w:r>
    </w:p>
    <w:p w14:paraId="39B00574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30CDFCCC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6. Экономические вопросы архитектурно-планировочных решений городов</w:t>
      </w:r>
    </w:p>
    <w:p w14:paraId="6967E6CA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14:paraId="520DB490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Состав предпроектных расчётов при проектировании генплана города. </w:t>
      </w:r>
    </w:p>
    <w:p w14:paraId="72D4E8B4" w14:textId="77777777" w:rsidR="006B67C5" w:rsidRPr="0013642F" w:rsidRDefault="006B67C5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Порядок определения территории, необходимой для размещения жилой зоны города.</w:t>
      </w:r>
    </w:p>
    <w:p w14:paraId="6CF02CE9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градостроительных проектов. </w:t>
      </w:r>
    </w:p>
    <w:p w14:paraId="54F7D9A9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4365FB57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7. Экономика архитектурно-планировочных решений жилых и общественных зданий</w:t>
      </w:r>
    </w:p>
    <w:p w14:paraId="3A68155E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lastRenderedPageBreak/>
        <w:t>Цель: рассмотреть технико-экономическую оценку архитектурно-планировочных решений жилых и общественных зданий</w:t>
      </w:r>
    </w:p>
    <w:p w14:paraId="46088C0B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Общие тенденции развития жилищного строительства в России. </w:t>
      </w:r>
    </w:p>
    <w:p w14:paraId="50F1541E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Система технико-экономических показателей проектов жилых домов. </w:t>
      </w:r>
    </w:p>
    <w:p w14:paraId="5534DFBC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Факторы, определяющие экономичность проектных решений жилых домов. </w:t>
      </w:r>
    </w:p>
    <w:p w14:paraId="68780B28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Применение экономико-математических методов при проектировании жилья. </w:t>
      </w:r>
    </w:p>
    <w:p w14:paraId="6050F1E5" w14:textId="2D8B6359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оценки проектных решений общественных зданий. </w:t>
      </w:r>
    </w:p>
    <w:p w14:paraId="1C5CBB68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2C8E36C3" w14:textId="77777777" w:rsid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14:paraId="66D7903C" w14:textId="77777777" w:rsidR="008D14E3" w:rsidRP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8D14E3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14:paraId="76C52CE1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14:paraId="0557A0D6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14:paraId="0DC1F734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14:paraId="653547FA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14:paraId="4817239A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14:paraId="3ABDA65C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14:paraId="18A3E1FA" w14:textId="77777777" w:rsidR="006B67C5" w:rsidRPr="0013642F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2210364" w14:textId="77777777" w:rsidR="006B67C5" w:rsidRPr="00AE00F0" w:rsidRDefault="006B67C5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AE00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14:paraId="278C0FC9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46608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7DF29C1E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5F5C331E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6F21E86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02DE985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3086BCB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3C03598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678F849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07DE4CD5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76362ECA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Последовательность проведения практических работ и их тематика представлена в рабочей программе.</w:t>
      </w:r>
    </w:p>
    <w:p w14:paraId="17ADEA0E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05F8D981" w14:textId="77777777" w:rsidR="006B67C5" w:rsidRPr="00AE00F0" w:rsidRDefault="006B67C5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6BCE91B" w14:textId="77777777" w:rsidR="006B67C5" w:rsidRPr="00AE00F0" w:rsidRDefault="006B67C5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14:paraId="08476FFA" w14:textId="77777777" w:rsidR="006B67C5" w:rsidRPr="00AE00F0" w:rsidRDefault="006B67C5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9F8204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7D4BB621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5C9718A8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2B99CADC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46082DFE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42D93B78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22CB4E66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6C8B76CB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3D593E7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3BEF4E3" w14:textId="77777777" w:rsidR="006B67C5" w:rsidRPr="00AE00F0" w:rsidRDefault="006B67C5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6FC57A22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05EB6A1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33525C1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79A470E4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348BC90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71ACB2B0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09500845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5E59FC22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3D2A7F9D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14:paraId="226E8D04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0624AA4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47A4EE69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1D5B07B7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4843BB97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7. Использование дополнительного материала (приветствуется, но не обязательно для всех студентов).</w:t>
      </w:r>
    </w:p>
    <w:p w14:paraId="69806DF7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7F077BF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5D2B876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69F637C8" w14:textId="77777777" w:rsidR="006B67C5" w:rsidRPr="00AE00F0" w:rsidRDefault="006B67C5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25C6EACB" w14:textId="77777777" w:rsidR="006B67C5" w:rsidRPr="00AE00F0" w:rsidRDefault="006B67C5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5B2A403E" w14:textId="77777777" w:rsidR="006B67C5" w:rsidRPr="00AE00F0" w:rsidRDefault="006B67C5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14:paraId="7EEF63D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40D5F65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6B591DB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54D687DE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45273015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0B6C66B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58ACCF65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789D44E2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44688138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78322991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377192E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1B1E02F0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69636230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24BAC3B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2BF271F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0F0AAC3C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277E2050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2CAA5E7A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1EF737C1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0D229AE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039CE40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34E40FF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2C46795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9. Составление обзора публикаций по теме.</w:t>
      </w:r>
    </w:p>
    <w:p w14:paraId="26AAA27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7B27026C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14:paraId="2294D19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14:paraId="423A288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4C32DC7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5640143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7353BBF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6E600CC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75D8660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09CFB62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008B96EA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062950F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7A1327C2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14:paraId="4BE92CA1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14:paraId="4B61ED5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DAD5B6" w14:textId="77777777" w:rsidR="006B67C5" w:rsidRPr="00AE00F0" w:rsidRDefault="006B67C5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14:paraId="144555F3" w14:textId="77777777" w:rsidR="006B67C5" w:rsidRPr="00FA41C6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FF12E9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4E8540FF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691B53FF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14:paraId="587243EA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32A43F86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14:paraId="6225D783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60C9A2A4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14:paraId="3271568E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41124B6B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14:paraId="75E42CCC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4.Рекомендации по подготовке к промежуточной аттестации –дифзачету</w:t>
      </w:r>
    </w:p>
    <w:p w14:paraId="4D9781A6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8559ABD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14:paraId="171E31E9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7C6D64AC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14:paraId="0BBC210F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4B4CF89E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14:paraId="62EA99C4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14:paraId="5D19E245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14:paraId="450A6AC0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3BAE20FD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14:paraId="22347090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14:paraId="50CF184E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33E459EE" w14:textId="77777777" w:rsidR="008D14E3" w:rsidRDefault="008D14E3" w:rsidP="008D14E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5A5AC106" w14:textId="77777777" w:rsidR="008D14E3" w:rsidRDefault="008D14E3" w:rsidP="008D14E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ABDA8B" w14:textId="77777777" w:rsidR="008D14E3" w:rsidRDefault="008D14E3" w:rsidP="008D14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1948"/>
        <w:gridCol w:w="1948"/>
        <w:gridCol w:w="1948"/>
        <w:gridCol w:w="2577"/>
      </w:tblGrid>
      <w:tr w:rsidR="008D14E3" w14:paraId="481BE8A3" w14:textId="77777777" w:rsidTr="008D14E3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FEC1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2069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1E0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FF9A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9EB9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«2»</w:t>
            </w:r>
          </w:p>
        </w:tc>
      </w:tr>
      <w:tr w:rsidR="008D14E3" w14:paraId="1FFC5900" w14:textId="77777777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8F5A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5D3D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DC95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F76D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EC6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14:paraId="5FBE88AB" w14:textId="77777777" w:rsidTr="008D14E3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0FF8" w14:textId="77777777"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7510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A3BA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0A4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713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14:paraId="0E42ABAA" w14:textId="77777777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DEB8D" w14:textId="77777777" w:rsidR="008D14E3" w:rsidRDefault="008D1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5B7B" w14:textId="77777777"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8707" w14:textId="77777777"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недостаточно 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EF6E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с замечаниями, ответы при защите с существенными 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51A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8D14E3" w14:paraId="502347DF" w14:textId="77777777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5D3E" w14:textId="77777777"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EE1D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14:paraId="584C992A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6CE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Хорошо и достаточно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A872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Знает сущность, но недостаточно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14:paraId="1CD3EC51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9D2C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14:paraId="74891A43" w14:textId="77777777" w:rsidR="008D14E3" w:rsidRDefault="008D14E3" w:rsidP="008D14E3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C17DE4" w14:textId="77777777" w:rsidR="008D14E3" w:rsidRDefault="008D14E3" w:rsidP="008D14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4E3">
          <w:pgSz w:w="11906" w:h="16838"/>
          <w:pgMar w:top="1134" w:right="1134" w:bottom="1134" w:left="1134" w:header="708" w:footer="708" w:gutter="0"/>
          <w:cols w:space="720"/>
        </w:sectPr>
      </w:pPr>
    </w:p>
    <w:p w14:paraId="7C076FE9" w14:textId="77777777" w:rsidR="008D14E3" w:rsidRDefault="008D14E3" w:rsidP="008D14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14:paraId="445D46EA" w14:textId="77777777" w:rsidR="008D14E3" w:rsidRDefault="008D14E3" w:rsidP="008D14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5E321" w14:textId="77777777" w:rsidR="00AC3A22" w:rsidRPr="00AC3A22" w:rsidRDefault="00AC3A22" w:rsidP="00AC3A22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A22">
        <w:rPr>
          <w:rFonts w:ascii="Times New Roman" w:hAnsi="Times New Roman" w:cs="Times New Roman"/>
          <w:sz w:val="24"/>
          <w:szCs w:val="24"/>
        </w:rPr>
        <w:t>1. Давиденко, В.П. Экономика архитектурных решений и строительства: учебное пособие / В.П. Давиденко, Л.Т. Киселева;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2013. - 162 с. : ил. - Библиогр. в кн. - ISBN 978-5-9585-0528-9 ; То же [Электронный ресурс]. - URL: https://pl.b-ok.cc/book/2912417/51641a .</w:t>
      </w:r>
    </w:p>
    <w:p w14:paraId="393DE160" w14:textId="64D739AF" w:rsidR="008D14E3" w:rsidRDefault="00AC3A22" w:rsidP="00AC3A22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A22">
        <w:rPr>
          <w:rFonts w:ascii="Times New Roman" w:hAnsi="Times New Roman" w:cs="Times New Roman"/>
          <w:sz w:val="24"/>
          <w:szCs w:val="24"/>
        </w:rPr>
        <w:t>2. Кирюшечкина, Л.И. Экономика архитектурных решений. Экономические основы для архитектора: учебное пособие / Л.И. Кирюшечкина, Л.А. Солодилова. – М.: РГ-Пресс, 2017. – 304 с.; то же [Электронный ресурс]. - URL: https://b-ok.cc/book/5488620/e66908 .</w:t>
      </w:r>
      <w:r w:rsidR="008D14E3">
        <w:rPr>
          <w:rFonts w:ascii="Times New Roman" w:hAnsi="Times New Roman" w:cs="Times New Roman"/>
          <w:spacing w:val="-6"/>
          <w:sz w:val="24"/>
          <w:szCs w:val="24"/>
        </w:rPr>
        <w:t xml:space="preserve">Градостроительный кодекс Российской Федерации, с изм . и дополн. на 30 декабря 2008г. </w:t>
      </w:r>
    </w:p>
    <w:p w14:paraId="2DFC652A" w14:textId="46C1CDEE" w:rsidR="00AC3A22" w:rsidRPr="00AC3A22" w:rsidRDefault="00AC3A22" w:rsidP="008D14E3">
      <w:pPr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A22">
        <w:rPr>
          <w:rFonts w:ascii="Times New Roman" w:hAnsi="Times New Roman" w:cs="Times New Roman"/>
          <w:sz w:val="24"/>
          <w:szCs w:val="24"/>
        </w:rPr>
        <w:t xml:space="preserve">Давиденко, В.П. Экономика проектирования: учебное пособие / В.П. Давиденко, Л.Т. Киселева, С.В. Мелихов. - Самара: Самарский государственный архитектурно-строительный университет, 2012. - 81 с. - ISBN 978-5-9585-0500-5; то же [Электронный ресурс]. - URL: </w:t>
      </w:r>
      <w:hyperlink r:id="rId9" w:history="1">
        <w:r w:rsidRPr="00AC3A22">
          <w:rPr>
            <w:rFonts w:ascii="Times New Roman" w:hAnsi="Times New Roman" w:cs="Times New Roman"/>
            <w:color w:val="0000FF"/>
            <w:u w:val="single"/>
          </w:rPr>
          <w:t>https://znanium.com/catalog/search/book?text=Давиденко%2C+В.П.+Экономика+проектирования%3A+учебное+пособие</w:t>
        </w:r>
      </w:hyperlink>
      <w:r>
        <w:rPr>
          <w:rFonts w:ascii="Times New Roman" w:hAnsi="Times New Roman" w:cs="Times New Roman"/>
          <w:color w:val="0000FF"/>
          <w:u w:val="single"/>
        </w:rPr>
        <w:t>.</w:t>
      </w:r>
    </w:p>
    <w:p w14:paraId="7BED3293" w14:textId="4779FD6F" w:rsidR="008D14E3" w:rsidRDefault="008D14E3" w:rsidP="008D14E3">
      <w:pPr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Либерман  И.А. Проектно-сметное дело и себестоимость строительства. Учебное пособие.- Ростов-на-Дону: МарТ,  2008</w:t>
      </w:r>
    </w:p>
    <w:p w14:paraId="55BA3520" w14:textId="77777777" w:rsidR="008D14E3" w:rsidRDefault="008D14E3" w:rsidP="008D14E3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Методические рекомендации по оценке эффективности инвестиционных проектов. – М.: Экономика, 2000. – 421с.</w:t>
      </w:r>
    </w:p>
    <w:p w14:paraId="6394F30D" w14:textId="77777777" w:rsidR="008D14E3" w:rsidRDefault="008D14E3" w:rsidP="008D14E3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Фролов, А. М.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 Финансово-правовое обеспечение строительной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[Текст] : учеб. пособие / А. М. Фролов, Е. Е. Ермолаев . - </w:t>
      </w:r>
      <w:r>
        <w:rPr>
          <w:rFonts w:ascii="Times New Roman" w:hAnsi="Times New Roman" w:cs="Times New Roman"/>
          <w:spacing w:val="-20"/>
          <w:sz w:val="24"/>
          <w:szCs w:val="24"/>
        </w:rPr>
        <w:t>Самара : Изд-во Самарского гос. арх.-строит. ун-та, 2007. - 174 с.</w:t>
      </w:r>
    </w:p>
    <w:p w14:paraId="643D1F2C" w14:textId="77777777" w:rsidR="008D14E3" w:rsidRDefault="008D14E3" w:rsidP="008D14E3">
      <w:pPr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Экономика и организация инвестирования в строительстве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Н.В. Казакова, А.Н. Плотников. - М.: Альфа-М: НИЦ Инфра-М, 2012. - 256 с.: ил.; 60x90 1/16. (переплет) ISBN 978-5-98281-315-2 </w:t>
      </w:r>
      <w:r>
        <w:rPr>
          <w:rFonts w:ascii="Times New Roman" w:hAnsi="Times New Roman" w:cs="Times New Roman"/>
          <w:sz w:val="24"/>
          <w:szCs w:val="24"/>
        </w:rPr>
        <w:t>http://znanium.com/bookread2.php?book=327347</w:t>
      </w:r>
    </w:p>
    <w:p w14:paraId="17E1D8F1" w14:textId="77777777" w:rsidR="008D14E3" w:rsidRDefault="008D14E3" w:rsidP="008D14E3">
      <w:pPr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Экономическая оценка инвестиций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Плотников А.Н., Плотников Д.А. - М.:НИЦ ИНФРА-М, 2016. - 120 с.: 60x90 1/16 ISBN 978-5-16-105481-9 (online)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>
          <w:rPr>
            <w:rStyle w:val="aa"/>
            <w:sz w:val="24"/>
            <w:szCs w:val="24"/>
          </w:rPr>
          <w:t>http://znanium.com/bookread2.php?book=754398</w:t>
        </w:r>
      </w:hyperlink>
    </w:p>
    <w:p w14:paraId="4E4C55FD" w14:textId="77777777" w:rsidR="008D14E3" w:rsidRDefault="008D14E3" w:rsidP="008D14E3">
      <w:pPr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Экологическая безопасность в строительстве: риски и предпроектные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: Монография / Керро Н.И. - Вологда:Инфра-Инженерия, 2017. - 246 с.: ISBN 978-5-9729-0152-4 - Режим доступа: </w:t>
      </w:r>
      <w:hyperlink r:id="rId11" w:history="1">
        <w:r>
          <w:rPr>
            <w:rStyle w:val="aa"/>
            <w:sz w:val="24"/>
            <w:szCs w:val="24"/>
          </w:rPr>
          <w:t>http://znanium.com/catalog/product/943568</w:t>
        </w:r>
      </w:hyperlink>
    </w:p>
    <w:p w14:paraId="618BACD7" w14:textId="77777777" w:rsidR="008D14E3" w:rsidRDefault="008D14E3" w:rsidP="008D14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14:paraId="46729D74" w14:textId="77777777" w:rsidR="008D14E3" w:rsidRDefault="008D14E3" w:rsidP="008D14E3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Периодические издания</w:t>
      </w:r>
    </w:p>
    <w:p w14:paraId="465DB723" w14:textId="77777777" w:rsidR="00AC3A22" w:rsidRPr="00AC3A22" w:rsidRDefault="00AC3A22" w:rsidP="00AC3A2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A22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AC3A22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r w:rsidRPr="00AC3A22">
        <w:rPr>
          <w:rFonts w:ascii="Times New Roman" w:hAnsi="Times New Roman" w:cs="Times New Roman"/>
          <w:bCs/>
          <w:sz w:val="24"/>
          <w:szCs w:val="24"/>
        </w:rPr>
        <w:t>2019</w:t>
      </w:r>
      <w:r w:rsidRPr="00AC3A22">
        <w:rPr>
          <w:rFonts w:ascii="Times New Roman" w:hAnsi="Times New Roman" w:cs="Times New Roman"/>
          <w:sz w:val="24"/>
          <w:szCs w:val="24"/>
        </w:rPr>
        <w:t xml:space="preserve">. - № 1-12, </w:t>
      </w:r>
      <w:r w:rsidRPr="00AC3A22">
        <w:rPr>
          <w:rFonts w:ascii="Times New Roman" w:hAnsi="Times New Roman" w:cs="Times New Roman"/>
          <w:bCs/>
          <w:sz w:val="24"/>
          <w:szCs w:val="24"/>
        </w:rPr>
        <w:t>2020</w:t>
      </w:r>
      <w:r w:rsidRPr="00AC3A22">
        <w:rPr>
          <w:rFonts w:ascii="Times New Roman" w:hAnsi="Times New Roman" w:cs="Times New Roman"/>
          <w:sz w:val="24"/>
          <w:szCs w:val="24"/>
        </w:rPr>
        <w:t xml:space="preserve">. - № 1-2. </w:t>
      </w:r>
    </w:p>
    <w:p w14:paraId="1447A5FD" w14:textId="77777777" w:rsidR="00AC3A22" w:rsidRPr="00AC3A22" w:rsidRDefault="00AC3A22" w:rsidP="00AC3A2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C3A22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2017. - № 1-12, 2018. - </w:t>
      </w:r>
      <w:bookmarkStart w:id="2" w:name="_Hlk44253914"/>
      <w:r w:rsidRPr="00AC3A22">
        <w:rPr>
          <w:rFonts w:ascii="Times New Roman" w:hAnsi="Times New Roman" w:cs="Times New Roman"/>
          <w:sz w:val="24"/>
          <w:szCs w:val="24"/>
        </w:rPr>
        <w:t>№</w:t>
      </w:r>
      <w:bookmarkEnd w:id="2"/>
      <w:r w:rsidRPr="00AC3A22">
        <w:rPr>
          <w:rFonts w:ascii="Times New Roman" w:hAnsi="Times New Roman" w:cs="Times New Roman"/>
          <w:sz w:val="24"/>
          <w:szCs w:val="24"/>
        </w:rPr>
        <w:t xml:space="preserve"> 1-12, </w:t>
      </w:r>
      <w:bookmarkStart w:id="3" w:name="_Hlk44254064"/>
      <w:r w:rsidRPr="00AC3A22">
        <w:rPr>
          <w:rFonts w:ascii="Times New Roman" w:hAnsi="Times New Roman" w:cs="Times New Roman"/>
          <w:sz w:val="24"/>
          <w:szCs w:val="24"/>
        </w:rPr>
        <w:t>2019. - № 1-12</w:t>
      </w:r>
      <w:bookmarkEnd w:id="3"/>
      <w:r w:rsidRPr="00AC3A22">
        <w:rPr>
          <w:rFonts w:ascii="Times New Roman" w:hAnsi="Times New Roman" w:cs="Times New Roman"/>
          <w:sz w:val="24"/>
          <w:szCs w:val="24"/>
        </w:rPr>
        <w:t xml:space="preserve">, 2020. - № 1-2.  </w:t>
      </w:r>
    </w:p>
    <w:p w14:paraId="1BB7A072" w14:textId="77777777" w:rsidR="00AC3A22" w:rsidRPr="00AC3A22" w:rsidRDefault="00AC3A22" w:rsidP="00AC3A2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C3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Жилищное строительство: журнал. - М.: Агентство "Роспечать", 2019.- № 1-6.</w:t>
      </w:r>
    </w:p>
    <w:p w14:paraId="6E92FE77" w14:textId="77777777" w:rsidR="00AC3A22" w:rsidRPr="00AC3A22" w:rsidRDefault="00AC3A22" w:rsidP="00AC3A2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C3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Известия высших учебных заведений. Строительство: журнал. - М.: Агентство "Роспечать", 2019. - № 2-7, </w:t>
      </w:r>
      <w:r w:rsidRPr="00AC3A22">
        <w:rPr>
          <w:rFonts w:ascii="Times New Roman" w:hAnsi="Times New Roman" w:cs="Times New Roman"/>
          <w:sz w:val="24"/>
          <w:szCs w:val="24"/>
        </w:rPr>
        <w:t>2020. - № 1-2.</w:t>
      </w:r>
    </w:p>
    <w:p w14:paraId="18391F42" w14:textId="77777777" w:rsidR="00AC3A22" w:rsidRPr="00AC3A22" w:rsidRDefault="00AC3A22" w:rsidP="00AC3A2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3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Промышленное и гражданское строительство: журнал. - М.: Агентство "Роспечать", , 2018. – 1-12; 2019. № 6,8-10, 2020. – 1,2.</w:t>
      </w:r>
    </w:p>
    <w:p w14:paraId="6270DC8C" w14:textId="77777777" w:rsidR="00AC3A22" w:rsidRPr="00AC3A22" w:rsidRDefault="00AC3A22" w:rsidP="00AC3A2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C3A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Строительные материалы: журнал. - М.: Агентство "Роспечать", 2017. – 1-5, 2018. – 1-3, 2019. – 1-7, 2020. № 1.</w:t>
      </w:r>
    </w:p>
    <w:p w14:paraId="1EC9E232" w14:textId="77777777" w:rsidR="00AC3A22" w:rsidRPr="00AC3A22" w:rsidRDefault="00AC3A22" w:rsidP="00AC3A22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C3A22">
        <w:rPr>
          <w:rFonts w:ascii="Times New Roman" w:hAnsi="Times New Roman" w:cs="Times New Roman"/>
          <w:bCs/>
        </w:rPr>
        <w:t xml:space="preserve">Строительство и архитектура / </w:t>
      </w:r>
      <w:r w:rsidRPr="00AC3A22">
        <w:rPr>
          <w:rFonts w:ascii="Times New Roman" w:hAnsi="Times New Roman" w:cs="Times New Roman"/>
        </w:rPr>
        <w:t xml:space="preserve">Научно-практический журнал / Евтушенко С.И. (гл. ред.) М.: ИЦ РИОР, НИЦ ИНФРА-М. - 2016, том 4, вып. № 1-3; 2017, том 5 вып. 1-3; 2018, том 6, вып. № 1 – 4; </w:t>
      </w:r>
      <w:r w:rsidRPr="00AC3A22">
        <w:rPr>
          <w:rFonts w:ascii="Times New Roman" w:hAnsi="Times New Roman" w:cs="Times New Roman"/>
          <w:bCs/>
        </w:rPr>
        <w:t xml:space="preserve">2019, том 7, № 1 (22). </w:t>
      </w:r>
      <w:r w:rsidRPr="00AC3A22">
        <w:rPr>
          <w:rFonts w:ascii="Times New Roman" w:hAnsi="Times New Roman" w:cs="Times New Roman"/>
        </w:rPr>
        <w:t xml:space="preserve">Режим доступа: </w:t>
      </w:r>
      <w:hyperlink r:id="rId12" w:history="1">
        <w:r w:rsidRPr="00AC3A22">
          <w:rPr>
            <w:rFonts w:ascii="Times New Roman" w:hAnsi="Times New Roman" w:cs="Times New Roman"/>
            <w:color w:val="0000FF"/>
            <w:u w:val="single"/>
          </w:rPr>
          <w:t>http://znanium.com/catalog/product/872376</w:t>
        </w:r>
      </w:hyperlink>
    </w:p>
    <w:p w14:paraId="41F74AE4" w14:textId="77777777" w:rsidR="00AC3A22" w:rsidRPr="00AC3A22" w:rsidRDefault="00AC3A22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00E58B" w14:textId="77777777" w:rsidR="00AC3A22" w:rsidRPr="00AC3A22" w:rsidRDefault="00AC3A22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A2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5.4 Интернет-ресурсы </w:t>
      </w:r>
    </w:p>
    <w:p w14:paraId="0872E1BD" w14:textId="77777777" w:rsidR="00AC3A22" w:rsidRPr="00AC3A22" w:rsidRDefault="00AC3A22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4AB3C7" w14:textId="77777777" w:rsidR="00AC3A22" w:rsidRPr="00AC3A22" w:rsidRDefault="00B55EA5" w:rsidP="00AC3A2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4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AC3A22" w:rsidRPr="00AC3A22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5EDFA1E6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14:paraId="4452CEC5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14:paraId="37D329B8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14:paraId="3AF43CA1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9" w:tgtFrame="_blank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AC3A22" w:rsidRPr="00AC3A22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46C6BC96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513DA700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14:paraId="453C830A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3D7C00E2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593AA74E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3A3146EF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AC3A22" w:rsidRPr="00AC3A2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AC3A22" w:rsidRPr="00AC3A22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14:paraId="0F7B125F" w14:textId="77777777" w:rsidR="00AC3A22" w:rsidRPr="00AC3A22" w:rsidRDefault="00AC3A22" w:rsidP="00AC3A2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A22">
        <w:rPr>
          <w:rFonts w:ascii="Times New Roman" w:hAnsi="Times New Roman" w:cs="Times New Roman"/>
          <w:color w:val="0000FF"/>
          <w:sz w:val="24"/>
          <w:szCs w:val="24"/>
        </w:rPr>
        <w:t>https://openedu.ru/course/</w:t>
      </w:r>
      <w:r w:rsidRPr="00AC3A22">
        <w:rPr>
          <w:rFonts w:ascii="Times New Roman" w:hAnsi="Times New Roman" w:cs="Times New Roman"/>
          <w:sz w:val="24"/>
          <w:szCs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14:paraId="7F7C8E4A" w14:textId="77777777" w:rsidR="00AC3A22" w:rsidRPr="00AC3A22" w:rsidRDefault="00AC3A22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  <w:lang w:val="en-US"/>
        </w:rPr>
      </w:pPr>
      <w:r w:rsidRPr="00AC3A22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AC3A22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AC3A22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«Coursera», </w:t>
      </w:r>
      <w:r w:rsidRPr="00AC3A22">
        <w:rPr>
          <w:rFonts w:ascii="Times New Roman" w:hAnsi="Times New Roman" w:cs="Times New Roman"/>
          <w:spacing w:val="-20"/>
          <w:sz w:val="24"/>
          <w:szCs w:val="24"/>
        </w:rPr>
        <w:t>МООК</w:t>
      </w:r>
      <w:r w:rsidRPr="00AC3A22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: «Programming for Everybody (Getting Started with Python)» </w:t>
      </w:r>
    </w:p>
    <w:p w14:paraId="686BAD88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6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="00AC3A22" w:rsidRPr="00AC3A22">
        <w:rPr>
          <w:rFonts w:ascii="Times New Roman" w:hAnsi="Times New Roman" w:cs="Times New Roman"/>
          <w:sz w:val="24"/>
          <w:szCs w:val="24"/>
        </w:rPr>
        <w:t xml:space="preserve"> - </w:t>
      </w:r>
      <w:r w:rsidR="00AC3A22" w:rsidRPr="00AC3A22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14:paraId="05ED35F8" w14:textId="77777777" w:rsidR="00AC3A22" w:rsidRPr="00AC3A22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7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AC3A22" w:rsidRPr="00AC3A22">
        <w:rPr>
          <w:rFonts w:ascii="Times New Roman" w:hAnsi="Times New Roman" w:cs="Times New Roman"/>
          <w:sz w:val="24"/>
          <w:szCs w:val="24"/>
        </w:rPr>
        <w:t xml:space="preserve"> - </w:t>
      </w:r>
      <w:r w:rsidR="00AC3A22" w:rsidRPr="00AC3A22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14:paraId="3CD1A3AE" w14:textId="783C0C5C" w:rsidR="008D14E3" w:rsidRDefault="00B55EA5" w:rsidP="00AC3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AC3A22" w:rsidRPr="00AC3A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AC3A22" w:rsidRPr="00AC3A22">
        <w:rPr>
          <w:rFonts w:ascii="Times New Roman" w:hAnsi="Times New Roman" w:cs="Times New Roman"/>
          <w:sz w:val="24"/>
          <w:szCs w:val="24"/>
        </w:rPr>
        <w:t xml:space="preserve"> - Научно-техническая</w:t>
      </w:r>
      <w:r w:rsidR="008D14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12818" w14:textId="77777777" w:rsidR="008D14E3" w:rsidRDefault="008D14E3" w:rsidP="008D14E3">
      <w:pPr>
        <w:pStyle w:val="ReportHead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</w:p>
    <w:p w14:paraId="62EC1169" w14:textId="77777777" w:rsidR="006B67C5" w:rsidRPr="00252D37" w:rsidRDefault="006B67C5" w:rsidP="008D14E3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6B67C5" w:rsidRPr="00252D37" w:rsidSect="000E7012">
      <w:footerReference w:type="default" r:id="rId2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35F7B" w14:textId="77777777" w:rsidR="00B55EA5" w:rsidRDefault="00B55EA5" w:rsidP="0043644C">
      <w:pPr>
        <w:spacing w:after="0" w:line="240" w:lineRule="auto"/>
      </w:pPr>
      <w:r>
        <w:separator/>
      </w:r>
    </w:p>
  </w:endnote>
  <w:endnote w:type="continuationSeparator" w:id="0">
    <w:p w14:paraId="525FFD68" w14:textId="77777777" w:rsidR="00B55EA5" w:rsidRDefault="00B55EA5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7D75D" w14:textId="77777777" w:rsidR="006B67C5" w:rsidRDefault="00A17F9B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E0193E">
      <w:rPr>
        <w:noProof/>
      </w:rPr>
      <w:t>14</w:t>
    </w:r>
    <w:r>
      <w:rPr>
        <w:noProof/>
      </w:rPr>
      <w:fldChar w:fldCharType="end"/>
    </w:r>
  </w:p>
  <w:p w14:paraId="64EDD8C9" w14:textId="77777777" w:rsidR="006B67C5" w:rsidRDefault="006B67C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8FCA0" w14:textId="77777777" w:rsidR="00B55EA5" w:rsidRDefault="00B55EA5" w:rsidP="0043644C">
      <w:pPr>
        <w:spacing w:after="0" w:line="240" w:lineRule="auto"/>
      </w:pPr>
      <w:r>
        <w:separator/>
      </w:r>
    </w:p>
  </w:footnote>
  <w:footnote w:type="continuationSeparator" w:id="0">
    <w:p w14:paraId="28784DF2" w14:textId="77777777" w:rsidR="00B55EA5" w:rsidRDefault="00B55EA5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2."/>
      <w:lvlJc w:val="left"/>
      <w:pPr>
        <w:ind w:left="1534" w:hanging="375"/>
      </w:pPr>
    </w:lvl>
    <w:lvl w:ilvl="2">
      <w:start w:val="1"/>
      <w:numFmt w:val="decimal"/>
      <w:lvlText w:val="%1.%2.%3"/>
      <w:lvlJc w:val="left"/>
      <w:pPr>
        <w:ind w:left="3038" w:hanging="720"/>
      </w:pPr>
    </w:lvl>
    <w:lvl w:ilvl="3">
      <w:start w:val="1"/>
      <w:numFmt w:val="decimal"/>
      <w:lvlText w:val="%1.%2.%3.%4"/>
      <w:lvlJc w:val="left"/>
      <w:pPr>
        <w:ind w:left="4557" w:hanging="1080"/>
      </w:pPr>
    </w:lvl>
    <w:lvl w:ilvl="4">
      <w:start w:val="1"/>
      <w:numFmt w:val="decimal"/>
      <w:lvlText w:val="%1.%2.%3.%4.%5"/>
      <w:lvlJc w:val="left"/>
      <w:pPr>
        <w:ind w:left="5716" w:hanging="1080"/>
      </w:pPr>
    </w:lvl>
    <w:lvl w:ilvl="5">
      <w:start w:val="1"/>
      <w:numFmt w:val="decimal"/>
      <w:lvlText w:val="%1.%2.%3.%4.%5.%6"/>
      <w:lvlJc w:val="left"/>
      <w:pPr>
        <w:ind w:left="7235" w:hanging="1440"/>
      </w:pPr>
    </w:lvl>
    <w:lvl w:ilvl="6">
      <w:start w:val="1"/>
      <w:numFmt w:val="decimal"/>
      <w:lvlText w:val="%1.%2.%3.%4.%5.%6.%7"/>
      <w:lvlJc w:val="left"/>
      <w:pPr>
        <w:ind w:left="8394" w:hanging="1440"/>
      </w:pPr>
    </w:lvl>
    <w:lvl w:ilvl="7">
      <w:start w:val="1"/>
      <w:numFmt w:val="decimal"/>
      <w:lvlText w:val="%1.%2.%3.%4.%5.%6.%7.%8"/>
      <w:lvlJc w:val="left"/>
      <w:pPr>
        <w:ind w:left="9913" w:hanging="1800"/>
      </w:pPr>
    </w:lvl>
    <w:lvl w:ilvl="8">
      <w:start w:val="1"/>
      <w:numFmt w:val="decimal"/>
      <w:lvlText w:val="%1.%2.%3.%4.%5.%6.%7.%8.%9"/>
      <w:lvlJc w:val="left"/>
      <w:pPr>
        <w:ind w:left="11432" w:hanging="2160"/>
      </w:pPr>
    </w:lvl>
  </w:abstractNum>
  <w:abstractNum w:abstractNumId="14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2"/>
  </w:num>
  <w:num w:numId="11">
    <w:abstractNumId w:val="14"/>
  </w:num>
  <w:num w:numId="12">
    <w:abstractNumId w:val="1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03"/>
    <w:rsid w:val="000076B6"/>
    <w:rsid w:val="00023BD1"/>
    <w:rsid w:val="000E7012"/>
    <w:rsid w:val="0013642F"/>
    <w:rsid w:val="001526A4"/>
    <w:rsid w:val="00162011"/>
    <w:rsid w:val="001A3E63"/>
    <w:rsid w:val="001D1B55"/>
    <w:rsid w:val="001F55AD"/>
    <w:rsid w:val="001F7CD7"/>
    <w:rsid w:val="002335E4"/>
    <w:rsid w:val="00252D37"/>
    <w:rsid w:val="00270EED"/>
    <w:rsid w:val="00273CC2"/>
    <w:rsid w:val="002B35A3"/>
    <w:rsid w:val="002D5C19"/>
    <w:rsid w:val="002E0C1B"/>
    <w:rsid w:val="002F7910"/>
    <w:rsid w:val="0030235E"/>
    <w:rsid w:val="00337F38"/>
    <w:rsid w:val="003635C6"/>
    <w:rsid w:val="0037316F"/>
    <w:rsid w:val="00410817"/>
    <w:rsid w:val="0043644C"/>
    <w:rsid w:val="00445426"/>
    <w:rsid w:val="0046365B"/>
    <w:rsid w:val="00482F79"/>
    <w:rsid w:val="0049270D"/>
    <w:rsid w:val="004B336C"/>
    <w:rsid w:val="004C1FAB"/>
    <w:rsid w:val="005012AB"/>
    <w:rsid w:val="00545FB4"/>
    <w:rsid w:val="005B1EFE"/>
    <w:rsid w:val="005D2256"/>
    <w:rsid w:val="005D34C9"/>
    <w:rsid w:val="005D7613"/>
    <w:rsid w:val="005E68C9"/>
    <w:rsid w:val="00604E8E"/>
    <w:rsid w:val="00620B14"/>
    <w:rsid w:val="006610C7"/>
    <w:rsid w:val="006726B1"/>
    <w:rsid w:val="00685600"/>
    <w:rsid w:val="006B67C5"/>
    <w:rsid w:val="006C77E3"/>
    <w:rsid w:val="00776EF1"/>
    <w:rsid w:val="007776AE"/>
    <w:rsid w:val="00795FD2"/>
    <w:rsid w:val="007A5C2E"/>
    <w:rsid w:val="007B27CB"/>
    <w:rsid w:val="0084701A"/>
    <w:rsid w:val="00864C57"/>
    <w:rsid w:val="00875443"/>
    <w:rsid w:val="008D14E3"/>
    <w:rsid w:val="008D2ABB"/>
    <w:rsid w:val="0090460D"/>
    <w:rsid w:val="009046E0"/>
    <w:rsid w:val="00922C40"/>
    <w:rsid w:val="0095561D"/>
    <w:rsid w:val="00976155"/>
    <w:rsid w:val="009877FB"/>
    <w:rsid w:val="00A17F9B"/>
    <w:rsid w:val="00A20FA1"/>
    <w:rsid w:val="00A64E7B"/>
    <w:rsid w:val="00A955A5"/>
    <w:rsid w:val="00AC3A22"/>
    <w:rsid w:val="00AD3B7D"/>
    <w:rsid w:val="00AE00F0"/>
    <w:rsid w:val="00B008D3"/>
    <w:rsid w:val="00B24313"/>
    <w:rsid w:val="00B32E1B"/>
    <w:rsid w:val="00B44A95"/>
    <w:rsid w:val="00B54391"/>
    <w:rsid w:val="00B55EA5"/>
    <w:rsid w:val="00B57208"/>
    <w:rsid w:val="00BA2382"/>
    <w:rsid w:val="00BF4CC4"/>
    <w:rsid w:val="00C915AF"/>
    <w:rsid w:val="00CA460D"/>
    <w:rsid w:val="00CE5C0C"/>
    <w:rsid w:val="00D16F4F"/>
    <w:rsid w:val="00D616E3"/>
    <w:rsid w:val="00D77879"/>
    <w:rsid w:val="00D77AFD"/>
    <w:rsid w:val="00DA1FEC"/>
    <w:rsid w:val="00DA3103"/>
    <w:rsid w:val="00DE0EC3"/>
    <w:rsid w:val="00DE3855"/>
    <w:rsid w:val="00DE4DD2"/>
    <w:rsid w:val="00DF035F"/>
    <w:rsid w:val="00E0193E"/>
    <w:rsid w:val="00E12FCF"/>
    <w:rsid w:val="00E172EF"/>
    <w:rsid w:val="00E25CC3"/>
    <w:rsid w:val="00E72287"/>
    <w:rsid w:val="00E750F4"/>
    <w:rsid w:val="00E826CC"/>
    <w:rsid w:val="00E90040"/>
    <w:rsid w:val="00EF5707"/>
    <w:rsid w:val="00F2598D"/>
    <w:rsid w:val="00F425D8"/>
    <w:rsid w:val="00F62B9B"/>
    <w:rsid w:val="00F97F91"/>
    <w:rsid w:val="00FA41C6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36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4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20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db/portal/sites/portal_page.html" TargetMode="External"/><Relationship Id="rId18" Type="http://schemas.openxmlformats.org/officeDocument/2006/relationships/hyperlink" Target="http://eup.ru/" TargetMode="External"/><Relationship Id="rId26" Type="http://schemas.openxmlformats.org/officeDocument/2006/relationships/hyperlink" Target="https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ea.ru/%20-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/product/872376" TargetMode="External"/><Relationship Id="rId17" Type="http://schemas.openxmlformats.org/officeDocument/2006/relationships/hyperlink" Target="http://www.expert.ru/" TargetMode="External"/><Relationship Id="rId25" Type="http://schemas.openxmlformats.org/officeDocument/2006/relationships/hyperlink" Target="https://elibrary.ru/defaultx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su.ru/libraries/" TargetMode="External"/><Relationship Id="rId20" Type="http://schemas.openxmlformats.org/officeDocument/2006/relationships/hyperlink" Target="http://www.gks.ru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/product/943568" TargetMode="External"/><Relationship Id="rId24" Type="http://schemas.openxmlformats.org/officeDocument/2006/relationships/hyperlink" Target="https://ruco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asl.ru" TargetMode="External"/><Relationship Id="rId23" Type="http://schemas.openxmlformats.org/officeDocument/2006/relationships/hyperlink" Target="http://e.lanbook.com/" TargetMode="External"/><Relationship Id="rId28" Type="http://schemas.openxmlformats.org/officeDocument/2006/relationships/hyperlink" Target="http://mgsu.ru/resources/" TargetMode="External"/><Relationship Id="rId10" Type="http://schemas.openxmlformats.org/officeDocument/2006/relationships/hyperlink" Target="http://znanium.com/bookread2.php?book=754398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search/book?text=&#1044;&#1072;&#1074;&#1080;&#1076;&#1077;&#1085;&#1082;&#1086;%2C+&#1042;.&#1055;.+&#1069;&#1082;&#1086;&#1085;&#1086;&#1084;&#1080;&#1082;&#1072;+&#1087;&#1088;&#1086;&#1077;&#1082;&#1090;&#1080;&#1088;&#1086;&#1074;&#1072;&#1085;&#1080;&#1103;%3A+&#1091;&#1095;&#1077;&#1073;&#1085;&#1086;&#1077;+&#1087;&#1086;&#1089;&#1086;&#1073;&#1080;&#1077;" TargetMode="External"/><Relationship Id="rId14" Type="http://schemas.openxmlformats.org/officeDocument/2006/relationships/hyperlink" Target="http://rsl.ru/" TargetMode="External"/><Relationship Id="rId22" Type="http://schemas.openxmlformats.org/officeDocument/2006/relationships/hyperlink" Target="http://ibooks.ru/" TargetMode="External"/><Relationship Id="rId27" Type="http://schemas.openxmlformats.org/officeDocument/2006/relationships/hyperlink" Target="https://www.vestnikmgs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90BB-C087-4622-BC4B-8C7E1851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4604</Words>
  <Characters>26245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2019-01-20T09:21:00Z</cp:lastPrinted>
  <dcterms:created xsi:type="dcterms:W3CDTF">2020-06-29T07:47:00Z</dcterms:created>
  <dcterms:modified xsi:type="dcterms:W3CDTF">2020-06-29T07:47:00Z</dcterms:modified>
</cp:coreProperties>
</file>