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</w:t>
      </w:r>
      <w:r w:rsidR="00BE0839">
        <w:rPr>
          <w:i/>
          <w:sz w:val="24"/>
        </w:rPr>
        <w:t>Б.1.Б.16.1 Основы архитектурно-дизайнерского проектирования и композиционного моделирования</w:t>
      </w:r>
      <w:r w:rsidR="00196E7E">
        <w:rPr>
          <w:i/>
          <w:sz w:val="24"/>
        </w:rPr>
        <w:t>»</w:t>
      </w:r>
    </w:p>
    <w:p w:rsidR="00196E7E" w:rsidRDefault="00196E7E" w:rsidP="00196E7E">
      <w:pPr>
        <w:pStyle w:val="ReportHead"/>
        <w:suppressAutoHyphens/>
        <w:rPr>
          <w:sz w:val="24"/>
        </w:rPr>
      </w:pPr>
    </w:p>
    <w:p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196E7E" w:rsidRDefault="00196E7E" w:rsidP="00196E7E">
      <w:pPr>
        <w:pStyle w:val="ReportHead"/>
        <w:suppressAutoHyphens/>
        <w:rPr>
          <w:sz w:val="24"/>
        </w:rPr>
      </w:pPr>
    </w:p>
    <w:p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6F3C45">
        <w:rPr>
          <w:rFonts w:eastAsia="Calibri"/>
          <w:sz w:val="28"/>
          <w:szCs w:val="28"/>
          <w:lang w:eastAsia="en-US"/>
        </w:rPr>
        <w:t>Безбородова</w:t>
      </w:r>
      <w:bookmarkStart w:id="1" w:name="_GoBack"/>
      <w:bookmarkEnd w:id="1"/>
      <w:r w:rsidR="00BE7DE6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:rsidR="0027556E" w:rsidRPr="00BA5CF5" w:rsidRDefault="0027556E" w:rsidP="007A65F5"/>
    <w:p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08" w:rsidRDefault="00957608" w:rsidP="00E01DB3">
      <w:r>
        <w:separator/>
      </w:r>
    </w:p>
  </w:endnote>
  <w:endnote w:type="continuationSeparator" w:id="0">
    <w:p w:rsidR="00957608" w:rsidRDefault="0095760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08" w:rsidRDefault="00957608" w:rsidP="00E01DB3">
      <w:r>
        <w:separator/>
      </w:r>
    </w:p>
  </w:footnote>
  <w:footnote w:type="continuationSeparator" w:id="0">
    <w:p w:rsidR="00957608" w:rsidRDefault="0095760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1313A"/>
    <w:rsid w:val="00021718"/>
    <w:rsid w:val="00061F57"/>
    <w:rsid w:val="000654BA"/>
    <w:rsid w:val="000817AE"/>
    <w:rsid w:val="00096267"/>
    <w:rsid w:val="000A5955"/>
    <w:rsid w:val="000C0078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E1892"/>
    <w:rsid w:val="001E3C09"/>
    <w:rsid w:val="00242B63"/>
    <w:rsid w:val="00246308"/>
    <w:rsid w:val="0027556E"/>
    <w:rsid w:val="002A2E00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A0CF7"/>
    <w:rsid w:val="004E3D4B"/>
    <w:rsid w:val="004F53F4"/>
    <w:rsid w:val="005171B9"/>
    <w:rsid w:val="005342EC"/>
    <w:rsid w:val="005555AA"/>
    <w:rsid w:val="00582395"/>
    <w:rsid w:val="005A1B54"/>
    <w:rsid w:val="005A3755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6A3D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76060-48DB-4265-A109-DA309D28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ol.vorontsova@outlook.com</cp:lastModifiedBy>
  <cp:revision>39</cp:revision>
  <cp:lastPrinted>2019-03-14T06:31:00Z</cp:lastPrinted>
  <dcterms:created xsi:type="dcterms:W3CDTF">2019-10-23T09:39:00Z</dcterms:created>
  <dcterms:modified xsi:type="dcterms:W3CDTF">2020-11-01T19:32:00Z</dcterms:modified>
</cp:coreProperties>
</file>