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F11510" w:rsidRPr="00F11510" w:rsidRDefault="00F11510" w:rsidP="00F11510">
      <w:pPr>
        <w:pStyle w:val="ReportHead"/>
        <w:suppressAutoHyphens/>
        <w:spacing w:before="120"/>
        <w:rPr>
          <w:i/>
          <w:szCs w:val="28"/>
        </w:rPr>
      </w:pPr>
      <w:r w:rsidRPr="00F11510">
        <w:rPr>
          <w:i/>
          <w:szCs w:val="28"/>
        </w:rPr>
        <w:t>«Б.1.В.ДВ.4.1 Основы проектирования оборудования архитектурной среды»</w:t>
      </w:r>
    </w:p>
    <w:p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5342EC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5342EC" w:rsidRPr="00F11510">
        <w:rPr>
          <w:rFonts w:eastAsia="Calibri"/>
          <w:i/>
          <w:sz w:val="28"/>
          <w:szCs w:val="28"/>
          <w:u w:val="single"/>
          <w:lang w:eastAsia="en-US"/>
        </w:rPr>
        <w:t>3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="005342EC"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F11510">
        <w:rPr>
          <w:rFonts w:eastAsia="Calibri"/>
          <w:sz w:val="28"/>
          <w:szCs w:val="28"/>
          <w:lang w:eastAsia="en-US"/>
        </w:rPr>
        <w:t>Е</w:t>
      </w:r>
      <w:r w:rsidR="00933EDD">
        <w:rPr>
          <w:rFonts w:eastAsia="Calibri"/>
          <w:sz w:val="28"/>
          <w:szCs w:val="28"/>
          <w:lang w:eastAsia="en-US"/>
        </w:rPr>
        <w:t xml:space="preserve">. </w:t>
      </w:r>
      <w:r w:rsidR="00F11510">
        <w:rPr>
          <w:rFonts w:eastAsia="Calibri"/>
          <w:sz w:val="28"/>
          <w:szCs w:val="28"/>
          <w:lang w:eastAsia="en-US"/>
        </w:rPr>
        <w:t>В</w:t>
      </w:r>
      <w:r w:rsidR="00933EDD">
        <w:rPr>
          <w:rFonts w:eastAsia="Calibri"/>
          <w:sz w:val="28"/>
          <w:szCs w:val="28"/>
          <w:lang w:eastAsia="en-US"/>
        </w:rPr>
        <w:t xml:space="preserve">. </w:t>
      </w:r>
      <w:r w:rsidR="00F11510">
        <w:rPr>
          <w:rFonts w:eastAsia="Calibri"/>
          <w:sz w:val="28"/>
          <w:szCs w:val="28"/>
          <w:lang w:eastAsia="en-US"/>
        </w:rPr>
        <w:t>Снопов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457B5" w:rsidRDefault="007F0A60" w:rsidP="00F11510">
      <w:pPr>
        <w:pStyle w:val="ReportHead"/>
        <w:suppressAutoHyphens/>
        <w:spacing w:before="120"/>
        <w:jc w:val="left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Методические </w:t>
      </w:r>
      <w:r w:rsidR="00691AB7">
        <w:rPr>
          <w:rFonts w:eastAsia="Calibri"/>
          <w:szCs w:val="28"/>
        </w:rPr>
        <w:t>указания</w:t>
      </w:r>
      <w:r>
        <w:rPr>
          <w:rFonts w:eastAsia="Calibri"/>
          <w:szCs w:val="28"/>
        </w:rPr>
        <w:t xml:space="preserve"> </w:t>
      </w:r>
      <w:r w:rsidR="004269E2" w:rsidRPr="004269E2">
        <w:rPr>
          <w:rFonts w:eastAsia="Calibri"/>
          <w:szCs w:val="28"/>
        </w:rPr>
        <w:t xml:space="preserve"> явля</w:t>
      </w:r>
      <w:r w:rsidR="00933EDD">
        <w:rPr>
          <w:rFonts w:eastAsia="Calibri"/>
          <w:szCs w:val="28"/>
        </w:rPr>
        <w:t>ю</w:t>
      </w:r>
      <w:r w:rsidR="004269E2" w:rsidRPr="004269E2">
        <w:rPr>
          <w:rFonts w:eastAsia="Calibri"/>
          <w:szCs w:val="28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Cs w:val="28"/>
        </w:rPr>
        <w:t xml:space="preserve">Введение в </w:t>
      </w:r>
      <w:r w:rsidR="00F11510">
        <w:rPr>
          <w:i/>
          <w:sz w:val="24"/>
        </w:rPr>
        <w:t xml:space="preserve"> </w:t>
      </w:r>
      <w:r w:rsidR="00F11510" w:rsidRPr="00F11510">
        <w:rPr>
          <w:iCs/>
          <w:szCs w:val="28"/>
        </w:rPr>
        <w:t>основы проектирования оборудования архитектурной среды</w:t>
      </w:r>
      <w:r w:rsidR="004269E2" w:rsidRPr="004269E2">
        <w:rPr>
          <w:rFonts w:eastAsia="Calibri"/>
          <w:szCs w:val="28"/>
        </w:rPr>
        <w:t>, зарегистрированной</w:t>
      </w:r>
      <w:r w:rsidR="00933EDD">
        <w:rPr>
          <w:rFonts w:eastAsia="Calibri"/>
          <w:szCs w:val="28"/>
        </w:rPr>
        <w:t xml:space="preserve"> в ЦИТ под учетным номером  </w:t>
      </w:r>
      <w:r w:rsidR="00933EDD">
        <w:rPr>
          <w:rFonts w:eastAsia="Calibri"/>
          <w:szCs w:val="28"/>
          <w:u w:val="single"/>
        </w:rPr>
        <w:t>    </w:t>
      </w:r>
      <w:r w:rsidR="004269E2" w:rsidRPr="004269E2">
        <w:rPr>
          <w:rFonts w:eastAsia="Calibri"/>
          <w:szCs w:val="28"/>
        </w:rPr>
        <w:t xml:space="preserve"> </w:t>
      </w:r>
      <w:r w:rsidR="004269E2" w:rsidRPr="004269E2">
        <w:t xml:space="preserve"> </w:t>
      </w: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4134F7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57B31" w:rsidTr="00F05665">
        <w:tc>
          <w:tcPr>
            <w:tcW w:w="9640" w:type="dxa"/>
          </w:tcPr>
          <w:p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:rsidR="00B57B31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:rsidR="00F11510" w:rsidRDefault="00A16766" w:rsidP="004457B5">
      <w:pPr>
        <w:suppressAutoHyphens/>
        <w:spacing w:line="360" w:lineRule="auto"/>
        <w:ind w:left="-567" w:right="-284" w:firstLine="709"/>
        <w:jc w:val="both"/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B57B31">
        <w:rPr>
          <w:rFonts w:eastAsia="Calibri"/>
          <w:b/>
          <w:bCs/>
          <w:lang w:eastAsia="en-US"/>
        </w:rPr>
        <w:t xml:space="preserve"> </w:t>
      </w:r>
      <w:r w:rsidR="004457B5" w:rsidRPr="004457B5">
        <w:rPr>
          <w:rFonts w:eastAsia="Calibri"/>
          <w:b/>
          <w:bCs/>
          <w:lang w:eastAsia="en-US"/>
        </w:rPr>
        <w:t xml:space="preserve">- </w:t>
      </w:r>
      <w:r w:rsidR="00F11510" w:rsidRPr="00F11510">
        <w:rPr>
          <w:sz w:val="28"/>
          <w:szCs w:val="28"/>
        </w:rPr>
        <w:t>осмысление</w:t>
      </w:r>
      <w:r w:rsidR="00F11510" w:rsidRPr="00F11510">
        <w:rPr>
          <w:b/>
          <w:sz w:val="28"/>
          <w:szCs w:val="28"/>
        </w:rPr>
        <w:t xml:space="preserve"> </w:t>
      </w:r>
      <w:r w:rsidR="00F11510" w:rsidRPr="00F11510">
        <w:rPr>
          <w:sz w:val="28"/>
          <w:szCs w:val="28"/>
        </w:rPr>
        <w:t>роли дизайна в формировании современного предметного мира, осознание профессии, внедрение методов образного моделирования, планирования, рационализации в других областях профессиональной деятельности.</w:t>
      </w:r>
      <w:r w:rsidR="00F11510">
        <w:t xml:space="preserve"> 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Задачи</w:t>
      </w:r>
      <w:r w:rsidRPr="005342EC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освоения дисциплины:</w:t>
      </w:r>
    </w:p>
    <w:p w:rsidR="00F11510" w:rsidRPr="00F11510" w:rsidRDefault="004457B5" w:rsidP="00F11510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11510">
        <w:rPr>
          <w:rFonts w:eastAsia="Calibri"/>
          <w:bCs/>
          <w:sz w:val="32"/>
          <w:szCs w:val="32"/>
          <w:lang w:eastAsia="en-US"/>
        </w:rPr>
        <w:t xml:space="preserve"> </w:t>
      </w:r>
      <w:r w:rsidR="00F11510" w:rsidRPr="00F11510">
        <w:rPr>
          <w:rFonts w:eastAsia="Calibri"/>
          <w:bCs/>
          <w:sz w:val="28"/>
          <w:szCs w:val="28"/>
          <w:lang w:eastAsia="en-US"/>
        </w:rPr>
        <w:t xml:space="preserve">- </w:t>
      </w:r>
      <w:r w:rsidR="00F11510" w:rsidRPr="00F11510">
        <w:rPr>
          <w:color w:val="000000"/>
          <w:sz w:val="28"/>
          <w:szCs w:val="28"/>
        </w:rPr>
        <w:t>ознакомление с основными видами и типами оборудования, формирующего среду производственных, общественных и жилых зданий и сооружений и открытых городских пространств;</w:t>
      </w:r>
    </w:p>
    <w:p w:rsidR="00F11510" w:rsidRPr="00F11510" w:rsidRDefault="00F11510" w:rsidP="00F11510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11510">
        <w:rPr>
          <w:color w:val="000000"/>
          <w:sz w:val="28"/>
          <w:szCs w:val="28"/>
        </w:rPr>
        <w:t>-ознакомление с основными техническими и технологическими особенностями формирования подобного оборудования;</w:t>
      </w:r>
    </w:p>
    <w:p w:rsidR="00F11510" w:rsidRPr="00F11510" w:rsidRDefault="00F11510" w:rsidP="00F11510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11510">
        <w:rPr>
          <w:color w:val="000000"/>
          <w:sz w:val="28"/>
          <w:szCs w:val="28"/>
        </w:rPr>
        <w:t>- развитие у студентов навыков проектной классификации и типологизации оборудования;</w:t>
      </w:r>
    </w:p>
    <w:p w:rsidR="00163693" w:rsidRPr="00163693" w:rsidRDefault="00163693" w:rsidP="00F1151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</w:t>
      </w:r>
      <w:r w:rsidRPr="00163693">
        <w:rPr>
          <w:sz w:val="28"/>
          <w:szCs w:val="28"/>
        </w:rPr>
        <w:lastRenderedPageBreak/>
        <w:t>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163693" w:rsidRPr="00163693" w:rsidRDefault="00163693" w:rsidP="00C03C4A">
      <w:pPr>
        <w:suppressAutoHyphens/>
        <w:spacing w:line="360" w:lineRule="auto"/>
        <w:ind w:left="-426" w:right="-426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F11510" w:rsidRPr="00F11510" w:rsidRDefault="00F11510" w:rsidP="00C03C4A">
      <w:pPr>
        <w:widowControl w:val="0"/>
        <w:autoSpaceDE w:val="0"/>
        <w:autoSpaceDN w:val="0"/>
        <w:adjustRightInd w:val="0"/>
        <w:spacing w:line="360" w:lineRule="auto"/>
        <w:ind w:left="-426" w:right="-426" w:firstLine="567"/>
        <w:jc w:val="both"/>
        <w:rPr>
          <w:sz w:val="28"/>
          <w:szCs w:val="28"/>
        </w:rPr>
      </w:pPr>
      <w:r w:rsidRPr="00F11510">
        <w:rPr>
          <w:sz w:val="28"/>
          <w:szCs w:val="28"/>
        </w:rPr>
        <w:t>1. Проектная и производственно-технологическая деятельность:</w:t>
      </w:r>
    </w:p>
    <w:p w:rsidR="00F11510" w:rsidRPr="00F11510" w:rsidRDefault="00F11510" w:rsidP="00F70F94">
      <w:pPr>
        <w:widowControl w:val="0"/>
        <w:autoSpaceDE w:val="0"/>
        <w:autoSpaceDN w:val="0"/>
        <w:adjustRightInd w:val="0"/>
        <w:spacing w:line="360" w:lineRule="auto"/>
        <w:ind w:left="-426" w:right="-426" w:firstLine="426"/>
        <w:jc w:val="both"/>
        <w:rPr>
          <w:sz w:val="28"/>
          <w:szCs w:val="28"/>
        </w:rPr>
      </w:pPr>
      <w:r w:rsidRPr="00F11510">
        <w:rPr>
          <w:sz w:val="28"/>
          <w:szCs w:val="28"/>
        </w:rPr>
        <w:t>- разработка дизайн-проектов архитектурной среды;</w:t>
      </w:r>
    </w:p>
    <w:p w:rsidR="00F11510" w:rsidRPr="00F11510" w:rsidRDefault="00F11510" w:rsidP="00C03C4A">
      <w:pPr>
        <w:widowControl w:val="0"/>
        <w:autoSpaceDE w:val="0"/>
        <w:autoSpaceDN w:val="0"/>
        <w:adjustRightInd w:val="0"/>
        <w:spacing w:line="360" w:lineRule="auto"/>
        <w:ind w:left="-426" w:right="-426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11510">
        <w:rPr>
          <w:sz w:val="28"/>
          <w:szCs w:val="28"/>
        </w:rPr>
        <w:t xml:space="preserve">2. Углубить профессиональные знания студентов в их комплексной подготовке по </w:t>
      </w:r>
      <w:r w:rsidR="00C03C4A">
        <w:rPr>
          <w:sz w:val="28"/>
          <w:szCs w:val="28"/>
        </w:rPr>
        <w:t>направлению подготовки Дизайн архитектурной среды</w:t>
      </w:r>
      <w:r w:rsidRPr="00F11510">
        <w:rPr>
          <w:sz w:val="28"/>
          <w:szCs w:val="28"/>
        </w:rPr>
        <w:t xml:space="preserve"> путем ознакомления с основными принципами и методами технического проектирования основных видов оборудования, формирующих производственную, общественную, жилую и городскую среду.</w:t>
      </w:r>
    </w:p>
    <w:p w:rsidR="00CD3AD5" w:rsidRDefault="00163693" w:rsidP="00F1151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F11510">
        <w:rPr>
          <w:sz w:val="28"/>
          <w:szCs w:val="28"/>
        </w:rPr>
        <w:t xml:space="preserve"> Подготовка к практическим занятиям </w:t>
      </w:r>
      <w:r w:rsidR="00A070BC" w:rsidRPr="00F11510">
        <w:rPr>
          <w:sz w:val="28"/>
          <w:szCs w:val="28"/>
        </w:rPr>
        <w:t>(коллоквиумам)</w:t>
      </w:r>
      <w:r w:rsidR="00A070BC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>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7A23D9" w:rsidRDefault="007A23D9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индивидуального творческого задания:</w:t>
      </w:r>
      <w:r w:rsidR="004519DE" w:rsidRPr="004519DE">
        <w:rPr>
          <w:color w:val="000000"/>
          <w:spacing w:val="7"/>
          <w:sz w:val="28"/>
          <w:szCs w:val="28"/>
        </w:rPr>
        <w:t xml:space="preserve"> </w:t>
      </w:r>
      <w:r w:rsidRPr="009C184E">
        <w:rPr>
          <w:color w:val="000000"/>
          <w:spacing w:val="7"/>
          <w:sz w:val="28"/>
          <w:szCs w:val="28"/>
        </w:rPr>
        <w:t>«Анализ принципов формообразования в творчестве архитектора»</w:t>
      </w:r>
    </w:p>
    <w:p w:rsidR="009C184E" w:rsidRPr="007F031E" w:rsidRDefault="009C184E" w:rsidP="007A23D9">
      <w:pPr>
        <w:widowControl w:val="0"/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Цель задания:</w:t>
      </w:r>
      <w:r w:rsidR="007F031E">
        <w:rPr>
          <w:color w:val="000000"/>
          <w:spacing w:val="7"/>
          <w:sz w:val="28"/>
          <w:szCs w:val="28"/>
        </w:rPr>
        <w:t xml:space="preserve"> </w:t>
      </w:r>
      <w:r w:rsidR="007F031E" w:rsidRPr="007F031E">
        <w:rPr>
          <w:sz w:val="28"/>
          <w:szCs w:val="28"/>
        </w:rPr>
        <w:t>осмысление</w:t>
      </w:r>
      <w:r w:rsidR="007F031E" w:rsidRPr="007F031E">
        <w:rPr>
          <w:b/>
          <w:sz w:val="28"/>
          <w:szCs w:val="28"/>
        </w:rPr>
        <w:t xml:space="preserve"> </w:t>
      </w:r>
      <w:r w:rsidR="007F031E" w:rsidRPr="007F031E">
        <w:rPr>
          <w:sz w:val="28"/>
          <w:szCs w:val="28"/>
        </w:rPr>
        <w:t>роли дизайна в формировании современного предметного мира, осознание профессии, внедрение методов образного моделирования, планирования, рационализации в других областях профессиональной деятельности.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lastRenderedPageBreak/>
        <w:t xml:space="preserve">Задачи: </w:t>
      </w:r>
      <w:r w:rsidR="007F031E" w:rsidRPr="007F031E">
        <w:rPr>
          <w:color w:val="000000"/>
          <w:sz w:val="28"/>
          <w:szCs w:val="28"/>
        </w:rPr>
        <w:t>развитие у студентов навыков умелого использования имеющегося или вновь проектируемого оборудования в решении вопросов формирования целостности архитектурной среды</w:t>
      </w:r>
      <w:r w:rsidRPr="007F031E">
        <w:rPr>
          <w:color w:val="000000"/>
          <w:spacing w:val="7"/>
          <w:sz w:val="28"/>
          <w:szCs w:val="28"/>
        </w:rPr>
        <w:t>.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Индивидуальное творческое задание выполняется в форме вид</w:t>
      </w:r>
      <w:r w:rsidR="007A23D9">
        <w:rPr>
          <w:color w:val="000000"/>
          <w:spacing w:val="7"/>
          <w:sz w:val="28"/>
          <w:szCs w:val="28"/>
        </w:rPr>
        <w:t>е</w:t>
      </w:r>
      <w:r w:rsidRPr="009C184E">
        <w:rPr>
          <w:color w:val="000000"/>
          <w:spacing w:val="7"/>
          <w:sz w:val="28"/>
          <w:szCs w:val="28"/>
        </w:rPr>
        <w:t>опрезентации с последующей защитой в аудитории.</w:t>
      </w:r>
    </w:p>
    <w:p w:rsidR="008037A4" w:rsidRPr="005A1B54" w:rsidRDefault="00456B52" w:rsidP="009C184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</w:t>
      </w:r>
    </w:p>
    <w:p w:rsid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:rsidR="008164B3" w:rsidRPr="008037A4" w:rsidRDefault="008164B3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021718" w:rsidRDefault="008037A4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8164B3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A03479" w:rsidRPr="00A03479" w:rsidRDefault="00A03479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Тема реферата:</w:t>
      </w:r>
      <w:r w:rsidRPr="004457B5">
        <w:rPr>
          <w:color w:val="000000"/>
          <w:spacing w:val="7"/>
          <w:sz w:val="28"/>
          <w:szCs w:val="28"/>
        </w:rPr>
        <w:t xml:space="preserve"> «Особенности творческого подхода выдающихся архитекторов». 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Цель задания: на основе анализа творческого подхода конкретного мастера архитектуры выявить предпосылки, специфику, стиль проектных действий архитектора.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:rsidR="008E7FD0" w:rsidRPr="008E7FD0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8E7FD0" w:rsidRPr="008E7FD0">
        <w:rPr>
          <w:color w:val="000000"/>
          <w:spacing w:val="7"/>
          <w:sz w:val="28"/>
          <w:szCs w:val="28"/>
        </w:rPr>
        <w:t>Реферат выполняется на листах писчей бумаги формата А4 объемом 10-17 страниц и  видиопрезентации с последующей защитой в аудитории.</w:t>
      </w:r>
    </w:p>
    <w:p w:rsidR="008164B3" w:rsidRPr="008E7FD0" w:rsidRDefault="008164B3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7F031E" w:rsidRPr="007F031E">
        <w:rPr>
          <w:bCs/>
          <w:sz w:val="28"/>
          <w:szCs w:val="28"/>
        </w:rPr>
        <w:t>дифференцированного зачета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7F031E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дисцилины. Для полноты учебной информации и ее сравнения лучше использовать не менее двух учебников. 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7F031E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7F031E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</w:t>
      </w:r>
      <w:r w:rsidR="00163693" w:rsidRPr="00163693">
        <w:rPr>
          <w:color w:val="000000"/>
          <w:sz w:val="28"/>
          <w:szCs w:val="28"/>
        </w:rPr>
        <w:lastRenderedPageBreak/>
        <w:t xml:space="preserve">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 w:rsidR="00631A07"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7F031E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343" w:rsidRDefault="00503343" w:rsidP="00E01DB3">
      <w:r>
        <w:separator/>
      </w:r>
    </w:p>
  </w:endnote>
  <w:endnote w:type="continuationSeparator" w:id="0">
    <w:p w:rsidR="00503343" w:rsidRDefault="0050334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F3C">
          <w:rPr>
            <w:noProof/>
          </w:rPr>
          <w:t>3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343" w:rsidRDefault="00503343" w:rsidP="00E01DB3">
      <w:r>
        <w:separator/>
      </w:r>
    </w:p>
  </w:footnote>
  <w:footnote w:type="continuationSeparator" w:id="0">
    <w:p w:rsidR="00503343" w:rsidRDefault="0050334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1718"/>
    <w:rsid w:val="00061F57"/>
    <w:rsid w:val="000654BA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03343"/>
    <w:rsid w:val="005342EC"/>
    <w:rsid w:val="00582395"/>
    <w:rsid w:val="005A1B54"/>
    <w:rsid w:val="0061508E"/>
    <w:rsid w:val="00631A07"/>
    <w:rsid w:val="00655CBD"/>
    <w:rsid w:val="00683B7E"/>
    <w:rsid w:val="00691AB7"/>
    <w:rsid w:val="006B1049"/>
    <w:rsid w:val="006C4F3C"/>
    <w:rsid w:val="006F5113"/>
    <w:rsid w:val="00773359"/>
    <w:rsid w:val="00792821"/>
    <w:rsid w:val="00794AE6"/>
    <w:rsid w:val="007A23D9"/>
    <w:rsid w:val="007B5B3B"/>
    <w:rsid w:val="007E0902"/>
    <w:rsid w:val="007F031E"/>
    <w:rsid w:val="007F0A60"/>
    <w:rsid w:val="008037A4"/>
    <w:rsid w:val="008148E5"/>
    <w:rsid w:val="008164B3"/>
    <w:rsid w:val="0082041B"/>
    <w:rsid w:val="008C3B3C"/>
    <w:rsid w:val="008C7A5F"/>
    <w:rsid w:val="008E7FD0"/>
    <w:rsid w:val="008F6958"/>
    <w:rsid w:val="009249DF"/>
    <w:rsid w:val="00933EDD"/>
    <w:rsid w:val="0099037C"/>
    <w:rsid w:val="009C184E"/>
    <w:rsid w:val="00A03479"/>
    <w:rsid w:val="00A070BC"/>
    <w:rsid w:val="00A07BCB"/>
    <w:rsid w:val="00A14C71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57B31"/>
    <w:rsid w:val="00B64F3F"/>
    <w:rsid w:val="00B76FD3"/>
    <w:rsid w:val="00B96012"/>
    <w:rsid w:val="00C02FBA"/>
    <w:rsid w:val="00C03C4A"/>
    <w:rsid w:val="00C25187"/>
    <w:rsid w:val="00C9666B"/>
    <w:rsid w:val="00CA2338"/>
    <w:rsid w:val="00CC13BF"/>
    <w:rsid w:val="00CD3AD5"/>
    <w:rsid w:val="00CD3E8D"/>
    <w:rsid w:val="00CE3BC0"/>
    <w:rsid w:val="00D533CD"/>
    <w:rsid w:val="00D756C2"/>
    <w:rsid w:val="00D950CD"/>
    <w:rsid w:val="00DA4518"/>
    <w:rsid w:val="00DF20B1"/>
    <w:rsid w:val="00DF3556"/>
    <w:rsid w:val="00E01DB3"/>
    <w:rsid w:val="00E97EEF"/>
    <w:rsid w:val="00EA707A"/>
    <w:rsid w:val="00ED08BD"/>
    <w:rsid w:val="00EF2D0E"/>
    <w:rsid w:val="00F05665"/>
    <w:rsid w:val="00F11510"/>
    <w:rsid w:val="00F26636"/>
    <w:rsid w:val="00F41A27"/>
    <w:rsid w:val="00F54330"/>
    <w:rsid w:val="00F70F94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BC917A-3813-4AD3-9270-CB44587E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F4C95-7309-4ACC-904B-F3C55E211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2019-03-14T06:31:00Z</cp:lastPrinted>
  <dcterms:created xsi:type="dcterms:W3CDTF">2020-12-10T06:03:00Z</dcterms:created>
  <dcterms:modified xsi:type="dcterms:W3CDTF">2020-12-10T06:03:00Z</dcterms:modified>
</cp:coreProperties>
</file>