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0666D1AF" w14:textId="77777777" w:rsidR="00E01DB3" w:rsidRPr="005F62F1" w:rsidRDefault="00E01DB3" w:rsidP="005F62F1">
      <w:pPr>
        <w:suppressAutoHyphens/>
        <w:jc w:val="center"/>
        <w:rPr>
          <w:rFonts w:eastAsiaTheme="minorHAnsi"/>
          <w:lang w:eastAsia="en-US"/>
        </w:rPr>
      </w:pPr>
      <w:r w:rsidRPr="005F62F1">
        <w:rPr>
          <w:rFonts w:eastAsiaTheme="minorHAnsi"/>
          <w:lang w:eastAsia="en-US"/>
        </w:rPr>
        <w:t>Уровень высшего образования</w:t>
      </w:r>
    </w:p>
    <w:p w14:paraId="0666D1B0" w14:textId="77777777" w:rsidR="00E01DB3" w:rsidRDefault="00E01DB3" w:rsidP="005F62F1">
      <w:pPr>
        <w:suppressAutoHyphens/>
        <w:jc w:val="center"/>
        <w:rPr>
          <w:rFonts w:eastAsiaTheme="minorHAnsi"/>
          <w:lang w:eastAsia="en-US"/>
        </w:rPr>
      </w:pPr>
      <w:r w:rsidRPr="005F62F1">
        <w:rPr>
          <w:rFonts w:eastAsiaTheme="minorHAnsi"/>
          <w:lang w:eastAsia="en-US"/>
        </w:rPr>
        <w:t>БАКАЛАВРИАТ</w:t>
      </w:r>
    </w:p>
    <w:p w14:paraId="0666D1B1" w14:textId="77777777" w:rsidR="00437068" w:rsidRPr="005F62F1" w:rsidRDefault="00437068" w:rsidP="005F62F1">
      <w:pPr>
        <w:suppressAutoHyphens/>
        <w:jc w:val="center"/>
        <w:rPr>
          <w:rFonts w:eastAsiaTheme="minorHAnsi"/>
          <w:lang w:eastAsia="en-US"/>
        </w:rPr>
      </w:pPr>
    </w:p>
    <w:p w14:paraId="79ABA366" w14:textId="77777777" w:rsidR="00137169" w:rsidRDefault="00137169" w:rsidP="00137169">
      <w:pPr>
        <w:pStyle w:val="ReportHead"/>
        <w:suppressAutoHyphens/>
        <w:rPr>
          <w:i/>
          <w:sz w:val="24"/>
          <w:u w:val="single"/>
        </w:rPr>
      </w:pPr>
      <w:r>
        <w:rPr>
          <w:i/>
          <w:sz w:val="24"/>
          <w:u w:val="single"/>
        </w:rPr>
        <w:t>40.03.01 Юриспруденция</w:t>
      </w:r>
    </w:p>
    <w:p w14:paraId="48A86D4D" w14:textId="77777777" w:rsidR="00137169" w:rsidRDefault="00137169" w:rsidP="00137169">
      <w:pPr>
        <w:pStyle w:val="ReportHead"/>
        <w:suppressAutoHyphens/>
        <w:rPr>
          <w:sz w:val="24"/>
          <w:vertAlign w:val="superscript"/>
        </w:rPr>
      </w:pPr>
      <w:r>
        <w:rPr>
          <w:sz w:val="24"/>
          <w:vertAlign w:val="superscript"/>
        </w:rPr>
        <w:t>(код и наименование направления подготовки)</w:t>
      </w:r>
    </w:p>
    <w:p w14:paraId="0075F686" w14:textId="27670959" w:rsidR="00137169" w:rsidRDefault="00137169" w:rsidP="00137169">
      <w:pPr>
        <w:pStyle w:val="ReportHead"/>
        <w:suppressAutoHyphens/>
        <w:rPr>
          <w:i/>
          <w:sz w:val="24"/>
          <w:u w:val="single"/>
        </w:rPr>
      </w:pPr>
      <w:r>
        <w:rPr>
          <w:i/>
          <w:sz w:val="24"/>
          <w:u w:val="single"/>
        </w:rPr>
        <w:t>Государственно-правовой</w:t>
      </w:r>
    </w:p>
    <w:p w14:paraId="403DB40A" w14:textId="77777777" w:rsidR="00137169" w:rsidRDefault="00137169" w:rsidP="00137169">
      <w:pPr>
        <w:pStyle w:val="ReportHead"/>
        <w:suppressAutoHyphens/>
        <w:rPr>
          <w:i/>
          <w:sz w:val="24"/>
          <w:u w:val="single"/>
        </w:rPr>
      </w:pPr>
      <w:r>
        <w:rPr>
          <w:i/>
          <w:sz w:val="24"/>
          <w:u w:val="single"/>
        </w:rPr>
        <w:t>Гражданско-правовой</w:t>
      </w:r>
    </w:p>
    <w:p w14:paraId="5A38623F" w14:textId="77777777" w:rsidR="00137169" w:rsidRDefault="00137169" w:rsidP="00137169">
      <w:pPr>
        <w:pStyle w:val="ReportHead"/>
        <w:suppressAutoHyphens/>
        <w:rPr>
          <w:i/>
          <w:sz w:val="24"/>
          <w:u w:val="single"/>
        </w:rPr>
      </w:pPr>
      <w:r>
        <w:rPr>
          <w:i/>
          <w:sz w:val="24"/>
          <w:u w:val="single"/>
        </w:rPr>
        <w:t>Уголовно-правовой</w:t>
      </w:r>
    </w:p>
    <w:p w14:paraId="36DE74A6" w14:textId="77777777" w:rsidR="00137169" w:rsidRDefault="00137169" w:rsidP="00137169">
      <w:pPr>
        <w:pStyle w:val="ReportHead"/>
        <w:suppressAutoHyphens/>
        <w:rPr>
          <w:i/>
          <w:sz w:val="24"/>
          <w:u w:val="single"/>
        </w:rPr>
      </w:pPr>
      <w:bookmarkStart w:id="0" w:name="_GoBack"/>
      <w:bookmarkEnd w:id="0"/>
    </w:p>
    <w:p w14:paraId="142A3373" w14:textId="487F1419" w:rsidR="003F7EBA" w:rsidRDefault="00137169" w:rsidP="00137169">
      <w:pPr>
        <w:pStyle w:val="ReportHead"/>
        <w:suppressAutoHyphens/>
        <w:rPr>
          <w:i/>
          <w:sz w:val="24"/>
          <w:u w:val="single"/>
        </w:rPr>
      </w:pPr>
      <w:r>
        <w:rPr>
          <w:sz w:val="24"/>
          <w:vertAlign w:val="superscript"/>
        </w:rPr>
        <w:t xml:space="preserve"> (наименование направленности (профиля) образовательной программы</w:t>
      </w:r>
    </w:p>
    <w:p w14:paraId="0666D1B8" w14:textId="77777777" w:rsidR="00437068" w:rsidRDefault="00437068" w:rsidP="00FB2A09">
      <w:pPr>
        <w:pStyle w:val="ReportHead"/>
        <w:suppressAutoHyphens/>
        <w:jc w:val="left"/>
        <w:rPr>
          <w:i/>
          <w:sz w:val="24"/>
          <w:u w:val="single"/>
        </w:rPr>
      </w:pPr>
    </w:p>
    <w:p w14:paraId="0666D1BA"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Квалификация</w:t>
      </w:r>
    </w:p>
    <w:p w14:paraId="0666D1BB"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Бакалавр</w:t>
      </w:r>
    </w:p>
    <w:p w14:paraId="0666D1BC"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Форма обучения</w:t>
      </w:r>
    </w:p>
    <w:p w14:paraId="0666D1BD"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Очная</w:t>
      </w:r>
    </w:p>
    <w:p w14:paraId="0666D1BE" w14:textId="77777777" w:rsidR="009B4D49" w:rsidRPr="005F62F1" w:rsidRDefault="009B4D49" w:rsidP="005F62F1">
      <w:pPr>
        <w:suppressAutoHyphens/>
        <w:jc w:val="center"/>
        <w:rPr>
          <w:rFonts w:eastAsiaTheme="minorHAnsi"/>
          <w:lang w:eastAsia="en-US"/>
        </w:rPr>
      </w:pPr>
      <w:bookmarkStart w:id="1" w:name="BookmarkWhereDelChr13"/>
      <w:bookmarkEnd w:id="1"/>
    </w:p>
    <w:p w14:paraId="0666D1BF" w14:textId="77777777" w:rsidR="00E01DB3" w:rsidRPr="005F62F1" w:rsidRDefault="00E01DB3" w:rsidP="005F62F1">
      <w:pPr>
        <w:suppressAutoHyphens/>
        <w:jc w:val="center"/>
        <w:rPr>
          <w:rFonts w:eastAsiaTheme="minorHAnsi"/>
          <w:lang w:eastAsia="en-US"/>
        </w:rPr>
      </w:pPr>
    </w:p>
    <w:p w14:paraId="0666D1C0" w14:textId="77777777" w:rsidR="00E01DB3" w:rsidRPr="005F62F1" w:rsidRDefault="00E01DB3" w:rsidP="005F62F1">
      <w:pPr>
        <w:suppressAutoHyphens/>
        <w:jc w:val="center"/>
        <w:rPr>
          <w:rFonts w:eastAsiaTheme="minorHAnsi"/>
          <w:lang w:eastAsia="en-US"/>
        </w:rPr>
      </w:pPr>
    </w:p>
    <w:p w14:paraId="0666D1C1" w14:textId="77777777" w:rsidR="00E01DB3" w:rsidRPr="005F62F1"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77777777" w:rsidR="00437068" w:rsidRPr="005F62F1" w:rsidRDefault="00437068"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67D6F8B4"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6354B4">
        <w:rPr>
          <w:rFonts w:eastAsia="Calibri"/>
          <w:lang w:eastAsia="en-US"/>
        </w:rPr>
        <w:t>1</w:t>
      </w:r>
    </w:p>
    <w:p w14:paraId="0666D1CF" w14:textId="77777777" w:rsidR="00EE6DE8" w:rsidRDefault="00EE6DE8" w:rsidP="005F62F1">
      <w:pPr>
        <w:suppressAutoHyphens/>
        <w:jc w:val="center"/>
        <w:rPr>
          <w:rFonts w:eastAsia="Calibri"/>
          <w:lang w:eastAsia="en-US"/>
        </w:rPr>
      </w:pPr>
    </w:p>
    <w:p w14:paraId="0666D1D0" w14:textId="77777777" w:rsidR="00EE6DE8" w:rsidRDefault="00EE6DE8" w:rsidP="005F62F1">
      <w:pPr>
        <w:suppressAutoHyphens/>
        <w:jc w:val="center"/>
        <w:rPr>
          <w:rFonts w:eastAsia="Calibri"/>
          <w:lang w:eastAsia="en-US"/>
        </w:rPr>
      </w:pPr>
    </w:p>
    <w:p w14:paraId="0666D1D1" w14:textId="77777777" w:rsidR="00EE6DE8" w:rsidRDefault="00EE6DE8" w:rsidP="005F62F1">
      <w:pPr>
        <w:suppressAutoHyphens/>
        <w:jc w:val="center"/>
        <w:rPr>
          <w:rFonts w:eastAsia="Calibri"/>
          <w:lang w:eastAsia="en-US"/>
        </w:rPr>
      </w:pPr>
    </w:p>
    <w:p w14:paraId="0666D1D2" w14:textId="77777777" w:rsidR="00EE6DE8" w:rsidRPr="005F62F1" w:rsidRDefault="00EE6DE8" w:rsidP="005F62F1">
      <w:pPr>
        <w:suppressAutoHyphens/>
        <w:jc w:val="center"/>
        <w:rPr>
          <w:rFonts w:eastAsia="Calibri"/>
          <w:lang w:eastAsia="en-US"/>
        </w:rPr>
      </w:pPr>
    </w:p>
    <w:p w14:paraId="0666D1D3" w14:textId="77777777" w:rsidR="005F62F1" w:rsidRPr="005F62F1" w:rsidRDefault="005F62F1" w:rsidP="005F62F1">
      <w:pPr>
        <w:spacing w:after="200"/>
        <w:jc w:val="both"/>
        <w:rPr>
          <w:rFonts w:eastAsiaTheme="minorHAnsi"/>
          <w:lang w:eastAsia="en-US"/>
        </w:rPr>
      </w:pPr>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56BA7733" w:rsidR="00711096" w:rsidRPr="005F62F1" w:rsidRDefault="00F86838" w:rsidP="005F62F1">
            <w:r w:rsidRPr="005F62F1">
              <w:t>© ОГУ</w:t>
            </w:r>
            <w:r w:rsidR="00EE6DE8">
              <w:t>,20</w:t>
            </w:r>
            <w:r w:rsidR="003F7EBA">
              <w:t>2</w:t>
            </w:r>
            <w:r w:rsidR="006354B4">
              <w:t>1</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0666D204" w14:textId="77777777" w:rsidR="004269E2" w:rsidRPr="005F62F1" w:rsidRDefault="004269E2" w:rsidP="005F62F1">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5F62F1" w:rsidRPr="005F62F1" w14:paraId="0666D207" w14:textId="77777777" w:rsidTr="009B4D49">
        <w:tc>
          <w:tcPr>
            <w:tcW w:w="10163" w:type="dxa"/>
          </w:tcPr>
          <w:p w14:paraId="0666D205" w14:textId="77777777" w:rsidR="005F62F1" w:rsidRPr="005F62F1" w:rsidRDefault="005F62F1" w:rsidP="005F62F1">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0666D206" w14:textId="77777777" w:rsidR="005F62F1" w:rsidRPr="005F62F1" w:rsidRDefault="005F62F1" w:rsidP="005F62F1">
            <w:pPr>
              <w:jc w:val="right"/>
              <w:rPr>
                <w:color w:val="000000"/>
                <w:spacing w:val="7"/>
              </w:rPr>
            </w:pPr>
          </w:p>
        </w:tc>
      </w:tr>
      <w:tr w:rsidR="004269E2" w:rsidRPr="005F62F1" w14:paraId="0666D20A" w14:textId="77777777" w:rsidTr="009B4D49">
        <w:tc>
          <w:tcPr>
            <w:tcW w:w="10163" w:type="dxa"/>
            <w:hideMark/>
          </w:tcPr>
          <w:p w14:paraId="0666D208" w14:textId="77777777" w:rsidR="004269E2" w:rsidRPr="005F62F1" w:rsidRDefault="005F62F1" w:rsidP="005F62F1">
            <w:pPr>
              <w:jc w:val="both"/>
              <w:rPr>
                <w:color w:val="000000"/>
                <w:spacing w:val="7"/>
              </w:rPr>
            </w:pPr>
            <w:r>
              <w:rPr>
                <w:color w:val="000000"/>
                <w:spacing w:val="7"/>
              </w:rPr>
              <w:t>2</w:t>
            </w:r>
            <w:r w:rsidR="004269E2" w:rsidRPr="005F62F1">
              <w:rPr>
                <w:color w:val="000000"/>
                <w:spacing w:val="7"/>
              </w:rPr>
              <w:t xml:space="preserve"> </w:t>
            </w:r>
            <w:r w:rsidR="00491396" w:rsidRPr="005F62F1">
              <w:rPr>
                <w:color w:val="000000"/>
                <w:spacing w:val="7"/>
              </w:rPr>
              <w:t>Методические указания по лекционным занятиям</w:t>
            </w:r>
            <w:r w:rsidR="004269E2" w:rsidRPr="005F62F1">
              <w:rPr>
                <w:color w:val="000000"/>
                <w:spacing w:val="7"/>
              </w:rPr>
              <w:t xml:space="preserve"> ……………….....</w:t>
            </w:r>
          </w:p>
        </w:tc>
        <w:tc>
          <w:tcPr>
            <w:tcW w:w="567" w:type="dxa"/>
            <w:vAlign w:val="bottom"/>
            <w:hideMark/>
          </w:tcPr>
          <w:p w14:paraId="0666D209" w14:textId="77777777" w:rsidR="004269E2" w:rsidRPr="005F62F1" w:rsidRDefault="004269E2" w:rsidP="005F62F1">
            <w:pPr>
              <w:jc w:val="right"/>
              <w:rPr>
                <w:color w:val="000000"/>
                <w:spacing w:val="7"/>
              </w:rPr>
            </w:pPr>
          </w:p>
        </w:tc>
      </w:tr>
      <w:tr w:rsidR="004269E2" w:rsidRPr="005F62F1" w14:paraId="0666D20D" w14:textId="77777777" w:rsidTr="009B4D49">
        <w:tc>
          <w:tcPr>
            <w:tcW w:w="10163" w:type="dxa"/>
            <w:hideMark/>
          </w:tcPr>
          <w:p w14:paraId="0666D20B" w14:textId="77777777" w:rsidR="004269E2" w:rsidRPr="005F62F1" w:rsidRDefault="005F62F1" w:rsidP="005F62F1">
            <w:pPr>
              <w:jc w:val="both"/>
              <w:rPr>
                <w:color w:val="000000"/>
                <w:spacing w:val="7"/>
              </w:rPr>
            </w:pPr>
            <w:r>
              <w:rPr>
                <w:color w:val="000000"/>
                <w:spacing w:val="7"/>
              </w:rPr>
              <w:t>3</w:t>
            </w:r>
            <w:r w:rsidR="004269E2" w:rsidRPr="005F62F1">
              <w:rPr>
                <w:color w:val="000000"/>
                <w:spacing w:val="7"/>
              </w:rPr>
              <w:t xml:space="preserve"> </w:t>
            </w:r>
            <w:r w:rsidR="00491396" w:rsidRPr="005F62F1">
              <w:rPr>
                <w:color w:val="000000"/>
                <w:spacing w:val="7"/>
              </w:rPr>
              <w:t xml:space="preserve">Методические указания по </w:t>
            </w:r>
            <w:r w:rsidR="00A22803" w:rsidRPr="005F62F1">
              <w:rPr>
                <w:color w:val="000000"/>
                <w:spacing w:val="7"/>
              </w:rPr>
              <w:t xml:space="preserve">практическим </w:t>
            </w:r>
            <w:r w:rsidR="00491396" w:rsidRPr="005F62F1">
              <w:rPr>
                <w:color w:val="000000"/>
                <w:spacing w:val="7"/>
              </w:rPr>
              <w:t xml:space="preserve">занятиям </w:t>
            </w:r>
            <w:r w:rsidR="004269E2" w:rsidRPr="005F62F1">
              <w:rPr>
                <w:color w:val="000000"/>
                <w:spacing w:val="7"/>
              </w:rPr>
              <w:t>…..</w:t>
            </w:r>
          </w:p>
        </w:tc>
        <w:tc>
          <w:tcPr>
            <w:tcW w:w="567" w:type="dxa"/>
            <w:vAlign w:val="bottom"/>
            <w:hideMark/>
          </w:tcPr>
          <w:p w14:paraId="0666D20C" w14:textId="77777777" w:rsidR="004269E2" w:rsidRPr="005F62F1" w:rsidRDefault="004269E2" w:rsidP="005F62F1">
            <w:pPr>
              <w:jc w:val="right"/>
              <w:rPr>
                <w:color w:val="000000"/>
                <w:spacing w:val="7"/>
              </w:rPr>
            </w:pPr>
          </w:p>
        </w:tc>
      </w:tr>
      <w:tr w:rsidR="004269E2" w:rsidRPr="005F62F1" w14:paraId="0666D210" w14:textId="77777777" w:rsidTr="009B4D49">
        <w:tc>
          <w:tcPr>
            <w:tcW w:w="10163" w:type="dxa"/>
            <w:hideMark/>
          </w:tcPr>
          <w:p w14:paraId="0666D20E" w14:textId="77777777" w:rsidR="004269E2" w:rsidRPr="005F62F1" w:rsidRDefault="005F62F1" w:rsidP="005F62F1">
            <w:pPr>
              <w:jc w:val="both"/>
              <w:rPr>
                <w:color w:val="000000"/>
                <w:spacing w:val="7"/>
              </w:rPr>
            </w:pPr>
            <w:r>
              <w:rPr>
                <w:color w:val="000000"/>
                <w:spacing w:val="7"/>
              </w:rPr>
              <w:t>4</w:t>
            </w:r>
            <w:r w:rsidR="004269E2" w:rsidRPr="005F62F1">
              <w:rPr>
                <w:color w:val="000000"/>
                <w:spacing w:val="7"/>
              </w:rPr>
              <w:t xml:space="preserve"> </w:t>
            </w:r>
            <w:r w:rsidR="00A22803" w:rsidRPr="005F62F1">
              <w:rPr>
                <w:color w:val="000000"/>
                <w:spacing w:val="7"/>
              </w:rPr>
              <w:t>Методические указания по самостоятельной работе …..………….....</w:t>
            </w:r>
          </w:p>
        </w:tc>
        <w:tc>
          <w:tcPr>
            <w:tcW w:w="567" w:type="dxa"/>
            <w:vAlign w:val="bottom"/>
          </w:tcPr>
          <w:p w14:paraId="0666D20F" w14:textId="77777777" w:rsidR="004269E2" w:rsidRPr="005F62F1" w:rsidRDefault="004269E2" w:rsidP="005F62F1">
            <w:pPr>
              <w:jc w:val="right"/>
              <w:rPr>
                <w:color w:val="000000"/>
                <w:spacing w:val="7"/>
              </w:rPr>
            </w:pPr>
          </w:p>
        </w:tc>
      </w:tr>
      <w:tr w:rsidR="00A22803" w:rsidRPr="005F62F1" w14:paraId="0666D213" w14:textId="77777777" w:rsidTr="009B4D49">
        <w:tc>
          <w:tcPr>
            <w:tcW w:w="10163" w:type="dxa"/>
          </w:tcPr>
          <w:p w14:paraId="0666D211" w14:textId="77777777" w:rsidR="00A22803" w:rsidRPr="005F62F1" w:rsidRDefault="005F62F1" w:rsidP="00507DD0">
            <w:pPr>
              <w:jc w:val="both"/>
              <w:rPr>
                <w:color w:val="000000"/>
                <w:spacing w:val="7"/>
              </w:rPr>
            </w:pPr>
            <w:r>
              <w:rPr>
                <w:color w:val="000000"/>
                <w:spacing w:val="7"/>
              </w:rPr>
              <w:t>4</w:t>
            </w:r>
            <w:r w:rsidR="00691AB7" w:rsidRPr="005F62F1">
              <w:rPr>
                <w:color w:val="000000"/>
                <w:spacing w:val="7"/>
              </w:rPr>
              <w:t>.</w:t>
            </w:r>
            <w:r w:rsidR="00507DD0">
              <w:rPr>
                <w:color w:val="000000"/>
                <w:spacing w:val="7"/>
              </w:rPr>
              <w:t>1</w:t>
            </w:r>
            <w:r w:rsidR="00691AB7" w:rsidRPr="005F62F1">
              <w:rPr>
                <w:color w:val="000000"/>
                <w:spacing w:val="7"/>
              </w:rPr>
              <w:t xml:space="preserve"> Методические указания по </w:t>
            </w:r>
            <w:r w:rsidR="009B4D49" w:rsidRPr="005F62F1">
              <w:rPr>
                <w:color w:val="000000"/>
                <w:spacing w:val="7"/>
              </w:rPr>
              <w:t>решению</w:t>
            </w:r>
            <w:r w:rsidR="00691AB7" w:rsidRPr="005F62F1">
              <w:rPr>
                <w:color w:val="000000"/>
                <w:spacing w:val="7"/>
              </w:rPr>
              <w:t xml:space="preserve"> </w:t>
            </w:r>
            <w:r w:rsidR="009B4D49" w:rsidRPr="005F62F1">
              <w:rPr>
                <w:color w:val="000000"/>
                <w:spacing w:val="7"/>
              </w:rPr>
              <w:t xml:space="preserve">тестовых заданий </w:t>
            </w:r>
            <w:r w:rsidR="00A22803" w:rsidRPr="005F62F1">
              <w:rPr>
                <w:color w:val="000000"/>
                <w:spacing w:val="7"/>
              </w:rPr>
              <w:t>…………</w:t>
            </w:r>
          </w:p>
        </w:tc>
        <w:tc>
          <w:tcPr>
            <w:tcW w:w="567" w:type="dxa"/>
            <w:vAlign w:val="bottom"/>
          </w:tcPr>
          <w:p w14:paraId="0666D212" w14:textId="77777777" w:rsidR="00A22803" w:rsidRPr="005F62F1" w:rsidRDefault="00A22803" w:rsidP="005F62F1">
            <w:pPr>
              <w:jc w:val="right"/>
              <w:rPr>
                <w:color w:val="000000"/>
                <w:spacing w:val="7"/>
              </w:rPr>
            </w:pPr>
          </w:p>
        </w:tc>
      </w:tr>
      <w:tr w:rsidR="00691AB7" w:rsidRPr="005F62F1" w14:paraId="0666D216" w14:textId="77777777" w:rsidTr="009B4D49">
        <w:tc>
          <w:tcPr>
            <w:tcW w:w="10163" w:type="dxa"/>
          </w:tcPr>
          <w:p w14:paraId="0666D214" w14:textId="77777777" w:rsidR="00691AB7" w:rsidRPr="005F62F1" w:rsidRDefault="005F62F1" w:rsidP="00507DD0">
            <w:pPr>
              <w:jc w:val="both"/>
              <w:rPr>
                <w:color w:val="000000"/>
                <w:spacing w:val="7"/>
              </w:rPr>
            </w:pPr>
            <w:r>
              <w:rPr>
                <w:color w:val="000000"/>
                <w:spacing w:val="7"/>
              </w:rPr>
              <w:t>4</w:t>
            </w:r>
            <w:r w:rsidR="009B4D49" w:rsidRPr="005F62F1">
              <w:rPr>
                <w:color w:val="000000"/>
                <w:spacing w:val="7"/>
              </w:rPr>
              <w:t>.</w:t>
            </w:r>
            <w:r w:rsidR="00507DD0">
              <w:rPr>
                <w:color w:val="000000"/>
                <w:spacing w:val="7"/>
              </w:rPr>
              <w:t>2</w:t>
            </w:r>
            <w:r w:rsidR="009B4D49" w:rsidRPr="005F62F1">
              <w:rPr>
                <w:color w:val="000000"/>
                <w:spacing w:val="7"/>
              </w:rPr>
              <w:t xml:space="preserve"> Методические указания по решение логических заданий </w:t>
            </w:r>
            <w:r w:rsidR="00691AB7" w:rsidRPr="005F62F1">
              <w:rPr>
                <w:color w:val="000000"/>
                <w:spacing w:val="7"/>
              </w:rPr>
              <w:t>…………..</w:t>
            </w:r>
          </w:p>
        </w:tc>
        <w:tc>
          <w:tcPr>
            <w:tcW w:w="567" w:type="dxa"/>
            <w:vAlign w:val="bottom"/>
          </w:tcPr>
          <w:p w14:paraId="0666D215" w14:textId="77777777" w:rsidR="00691AB7" w:rsidRPr="005F62F1" w:rsidRDefault="00691AB7" w:rsidP="005F62F1">
            <w:pPr>
              <w:jc w:val="right"/>
              <w:rPr>
                <w:color w:val="000000"/>
                <w:spacing w:val="7"/>
              </w:rPr>
            </w:pPr>
          </w:p>
        </w:tc>
      </w:tr>
      <w:tr w:rsidR="009B4D49" w:rsidRPr="005F62F1" w14:paraId="0666D219" w14:textId="77777777" w:rsidTr="009B4D49">
        <w:tc>
          <w:tcPr>
            <w:tcW w:w="10163" w:type="dxa"/>
          </w:tcPr>
          <w:p w14:paraId="0666D217" w14:textId="77777777" w:rsidR="009B4D49" w:rsidRPr="005F62F1" w:rsidRDefault="005F62F1" w:rsidP="00507DD0">
            <w:pPr>
              <w:jc w:val="both"/>
              <w:rPr>
                <w:color w:val="000000"/>
                <w:spacing w:val="7"/>
              </w:rPr>
            </w:pPr>
            <w:r>
              <w:rPr>
                <w:color w:val="000000"/>
                <w:spacing w:val="7"/>
              </w:rPr>
              <w:t>4</w:t>
            </w:r>
            <w:r w:rsidR="009B4D49" w:rsidRPr="005F62F1">
              <w:rPr>
                <w:color w:val="000000"/>
                <w:spacing w:val="7"/>
              </w:rPr>
              <w:t>.</w:t>
            </w:r>
            <w:r w:rsidR="00507DD0">
              <w:rPr>
                <w:color w:val="000000"/>
                <w:spacing w:val="7"/>
              </w:rPr>
              <w:t>3</w:t>
            </w:r>
            <w:r w:rsidR="009B4D49" w:rsidRPr="005F62F1">
              <w:rPr>
                <w:color w:val="000000"/>
                <w:spacing w:val="7"/>
              </w:rPr>
              <w:t xml:space="preserve"> Методические указания по подготовке к коллоквиумам …………..</w:t>
            </w:r>
          </w:p>
        </w:tc>
        <w:tc>
          <w:tcPr>
            <w:tcW w:w="567" w:type="dxa"/>
            <w:vAlign w:val="bottom"/>
          </w:tcPr>
          <w:p w14:paraId="0666D218" w14:textId="77777777" w:rsidR="009B4D49" w:rsidRPr="005F62F1" w:rsidRDefault="009B4D49" w:rsidP="005F62F1">
            <w:pPr>
              <w:jc w:val="right"/>
              <w:rPr>
                <w:color w:val="000000"/>
                <w:spacing w:val="7"/>
              </w:rPr>
            </w:pPr>
          </w:p>
        </w:tc>
      </w:tr>
      <w:tr w:rsidR="00A22803" w:rsidRPr="005F62F1" w14:paraId="0666D21C" w14:textId="77777777" w:rsidTr="009B4D49">
        <w:tc>
          <w:tcPr>
            <w:tcW w:w="10163" w:type="dxa"/>
          </w:tcPr>
          <w:p w14:paraId="0666D21A" w14:textId="77777777" w:rsidR="00A22803" w:rsidRPr="005F62F1" w:rsidRDefault="005F62F1" w:rsidP="005F62F1">
            <w:pPr>
              <w:jc w:val="both"/>
              <w:rPr>
                <w:color w:val="000000"/>
                <w:spacing w:val="7"/>
              </w:rPr>
            </w:pPr>
            <w:r>
              <w:rPr>
                <w:color w:val="000000"/>
                <w:spacing w:val="7"/>
              </w:rPr>
              <w:t>5</w:t>
            </w:r>
            <w:r w:rsidR="00A22803" w:rsidRPr="005F62F1">
              <w:rPr>
                <w:color w:val="000000"/>
                <w:spacing w:val="7"/>
              </w:rPr>
              <w:t xml:space="preserve"> Методические указания по промежуточной аттестации по дисциплине</w:t>
            </w:r>
            <w:r w:rsidR="009B4D49" w:rsidRPr="005F62F1">
              <w:rPr>
                <w:color w:val="000000"/>
                <w:spacing w:val="7"/>
              </w:rPr>
              <w:t>……</w:t>
            </w:r>
            <w:r w:rsidR="00A22803" w:rsidRPr="005F62F1">
              <w:rPr>
                <w:color w:val="000000"/>
                <w:spacing w:val="7"/>
              </w:rPr>
              <w:t xml:space="preserve"> </w:t>
            </w:r>
          </w:p>
        </w:tc>
        <w:tc>
          <w:tcPr>
            <w:tcW w:w="567" w:type="dxa"/>
            <w:vAlign w:val="bottom"/>
          </w:tcPr>
          <w:p w14:paraId="0666D21B" w14:textId="77777777" w:rsidR="00A22803" w:rsidRPr="005F62F1" w:rsidRDefault="00A22803" w:rsidP="005F62F1">
            <w:pPr>
              <w:jc w:val="right"/>
              <w:rPr>
                <w:color w:val="000000"/>
                <w:spacing w:val="7"/>
              </w:rPr>
            </w:pPr>
          </w:p>
        </w:tc>
      </w:tr>
      <w:tr w:rsidR="00D00968" w:rsidRPr="005F62F1" w14:paraId="0666D21F" w14:textId="77777777" w:rsidTr="009B4D49">
        <w:tc>
          <w:tcPr>
            <w:tcW w:w="10163" w:type="dxa"/>
          </w:tcPr>
          <w:p w14:paraId="0666D21D" w14:textId="77777777" w:rsidR="00D00968" w:rsidRDefault="00D00968" w:rsidP="005F62F1">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r>
              <w:rPr>
                <w:color w:val="000000"/>
                <w:spacing w:val="7"/>
              </w:rPr>
              <w:t>…….</w:t>
            </w:r>
          </w:p>
        </w:tc>
        <w:tc>
          <w:tcPr>
            <w:tcW w:w="567" w:type="dxa"/>
            <w:vAlign w:val="bottom"/>
          </w:tcPr>
          <w:p w14:paraId="0666D21E" w14:textId="77777777" w:rsidR="00D00968" w:rsidRPr="005F62F1" w:rsidRDefault="00D00968" w:rsidP="005F62F1">
            <w:pPr>
              <w:jc w:val="right"/>
              <w:rPr>
                <w:color w:val="000000"/>
                <w:spacing w:val="7"/>
              </w:rPr>
            </w:pPr>
          </w:p>
        </w:tc>
      </w:tr>
    </w:tbl>
    <w:p w14:paraId="0666D220" w14:textId="77777777" w:rsidR="00DF3556" w:rsidRPr="005F62F1" w:rsidRDefault="00DF3556" w:rsidP="005F62F1"/>
    <w:p w14:paraId="0666D221" w14:textId="77777777" w:rsidR="009B4D49" w:rsidRPr="005F62F1" w:rsidRDefault="009B4D49" w:rsidP="005F62F1"/>
    <w:p w14:paraId="0666D222" w14:textId="77777777" w:rsidR="009B4D49" w:rsidRPr="005F62F1" w:rsidRDefault="009B4D49" w:rsidP="005F62F1"/>
    <w:p w14:paraId="0666D223" w14:textId="77777777" w:rsidR="009B4D49" w:rsidRPr="005F62F1" w:rsidRDefault="009B4D49" w:rsidP="005F62F1"/>
    <w:p w14:paraId="0666D224" w14:textId="77777777" w:rsidR="009B4D49" w:rsidRPr="005F62F1" w:rsidRDefault="009B4D49" w:rsidP="005F62F1"/>
    <w:p w14:paraId="0666D225" w14:textId="77777777" w:rsidR="009B4D49" w:rsidRPr="005F62F1" w:rsidRDefault="009B4D49" w:rsidP="005F62F1"/>
    <w:p w14:paraId="0666D226" w14:textId="77777777" w:rsidR="009B4D49" w:rsidRPr="005F62F1" w:rsidRDefault="009B4D49" w:rsidP="005F62F1"/>
    <w:p w14:paraId="0666D227" w14:textId="77777777" w:rsidR="009B4D49" w:rsidRPr="005F62F1" w:rsidRDefault="009B4D49" w:rsidP="005F62F1"/>
    <w:p w14:paraId="0666D228" w14:textId="77777777" w:rsidR="009B4D49" w:rsidRPr="005F62F1" w:rsidRDefault="009B4D49" w:rsidP="005F62F1"/>
    <w:p w14:paraId="0666D229" w14:textId="77777777" w:rsidR="009B4D49" w:rsidRPr="005F62F1" w:rsidRDefault="009B4D49" w:rsidP="005F62F1"/>
    <w:p w14:paraId="0666D22A" w14:textId="77777777" w:rsidR="009B4D49" w:rsidRPr="005F62F1" w:rsidRDefault="009B4D49" w:rsidP="005F62F1"/>
    <w:p w14:paraId="0666D22B" w14:textId="77777777" w:rsidR="009B4D49" w:rsidRPr="005F62F1" w:rsidRDefault="009B4D49" w:rsidP="005F62F1"/>
    <w:p w14:paraId="0666D22C" w14:textId="77777777" w:rsidR="009B4D49" w:rsidRPr="005F62F1" w:rsidRDefault="009B4D49" w:rsidP="005F62F1"/>
    <w:p w14:paraId="0666D22D" w14:textId="77777777" w:rsidR="009B4D49" w:rsidRPr="005F62F1" w:rsidRDefault="009B4D49" w:rsidP="005F62F1"/>
    <w:p w14:paraId="0666D22E" w14:textId="77777777" w:rsidR="009B4D49" w:rsidRPr="005F62F1" w:rsidRDefault="009B4D49" w:rsidP="005F62F1"/>
    <w:p w14:paraId="0666D22F" w14:textId="77777777" w:rsidR="009B4D49" w:rsidRPr="005F62F1" w:rsidRDefault="009B4D49" w:rsidP="005F62F1"/>
    <w:p w14:paraId="0666D230" w14:textId="77777777" w:rsidR="009B4D49" w:rsidRPr="005F62F1" w:rsidRDefault="009B4D49" w:rsidP="005F62F1"/>
    <w:p w14:paraId="0666D231" w14:textId="77777777" w:rsidR="009B4D49" w:rsidRPr="005F62F1" w:rsidRDefault="009B4D49" w:rsidP="005F62F1"/>
    <w:p w14:paraId="0666D232" w14:textId="77777777" w:rsidR="009B4D49" w:rsidRPr="005F62F1" w:rsidRDefault="009B4D49" w:rsidP="005F62F1"/>
    <w:p w14:paraId="0666D233" w14:textId="77777777" w:rsidR="009B4D49" w:rsidRPr="005F62F1" w:rsidRDefault="009B4D49" w:rsidP="005F62F1"/>
    <w:p w14:paraId="0666D234" w14:textId="77777777" w:rsidR="009B4D49" w:rsidRPr="005F62F1" w:rsidRDefault="009B4D49" w:rsidP="005F62F1"/>
    <w:p w14:paraId="0666D235" w14:textId="77777777" w:rsidR="009B4D49" w:rsidRPr="005F62F1" w:rsidRDefault="009B4D49" w:rsidP="005F62F1"/>
    <w:p w14:paraId="0666D236" w14:textId="77777777" w:rsidR="009B4D49" w:rsidRPr="005F62F1" w:rsidRDefault="009B4D49" w:rsidP="005F62F1"/>
    <w:p w14:paraId="0666D237" w14:textId="77777777" w:rsidR="009B4D49" w:rsidRPr="005F62F1" w:rsidRDefault="009B4D49" w:rsidP="005F62F1"/>
    <w:p w14:paraId="0666D238" w14:textId="77777777" w:rsidR="009B4D49" w:rsidRPr="005F62F1" w:rsidRDefault="009B4D49" w:rsidP="005F62F1"/>
    <w:p w14:paraId="0666D239" w14:textId="77777777" w:rsidR="009B4D49" w:rsidRPr="005F62F1" w:rsidRDefault="009B4D49" w:rsidP="005F62F1"/>
    <w:p w14:paraId="0666D23A" w14:textId="77777777" w:rsidR="009B4D49" w:rsidRPr="005F62F1" w:rsidRDefault="009B4D49" w:rsidP="005F62F1"/>
    <w:p w14:paraId="0666D23B" w14:textId="77777777" w:rsidR="009B4D49" w:rsidRPr="005F62F1" w:rsidRDefault="009B4D49"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lastRenderedPageBreak/>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0666D26D" w14:textId="77777777" w:rsidR="00EE6DE8" w:rsidRPr="00EE6DE8" w:rsidRDefault="00EE6DE8" w:rsidP="00EE6DE8">
            <w:pPr>
              <w:suppressAutoHyphens/>
              <w:rPr>
                <w:rFonts w:eastAsiaTheme="minorHAnsi"/>
                <w:i/>
              </w:rPr>
            </w:pPr>
            <w:r w:rsidRPr="00EE6DE8">
              <w:rPr>
                <w:rFonts w:eastAsiaTheme="minorHAnsi"/>
                <w:i/>
                <w:sz w:val="22"/>
                <w:szCs w:val="22"/>
                <w:lang w:eastAsia="en-US"/>
              </w:rPr>
              <w:t xml:space="preserve"> </w:t>
            </w:r>
            <w:r w:rsidRPr="00EE6DE8">
              <w:rPr>
                <w:rFonts w:eastAsiaTheme="minorHAnsi"/>
                <w:i/>
              </w:rPr>
              <w:t>- тестовые задания;</w:t>
            </w:r>
          </w:p>
          <w:p w14:paraId="0666D26E" w14:textId="77777777" w:rsidR="00EE6DE8" w:rsidRPr="00EE6DE8" w:rsidRDefault="00EE6DE8" w:rsidP="00EE6DE8">
            <w:pPr>
              <w:suppressAutoHyphens/>
              <w:rPr>
                <w:rFonts w:eastAsiaTheme="minorHAnsi"/>
                <w:i/>
              </w:rPr>
            </w:pPr>
            <w:r w:rsidRPr="00EE6DE8">
              <w:rPr>
                <w:rFonts w:eastAsiaTheme="minorHAnsi"/>
                <w:i/>
              </w:rPr>
              <w:t xml:space="preserve"> - подготовка к практическим заданиям;</w:t>
            </w:r>
          </w:p>
          <w:p w14:paraId="0666D26F" w14:textId="77777777" w:rsidR="00EE6DE8" w:rsidRPr="00EE6DE8" w:rsidRDefault="00EE6DE8" w:rsidP="00EE6DE8">
            <w:pPr>
              <w:suppressAutoHyphens/>
              <w:rPr>
                <w:rFonts w:eastAsiaTheme="minorHAnsi"/>
                <w:i/>
                <w:lang w:eastAsia="en-US"/>
              </w:rPr>
            </w:pPr>
            <w:r w:rsidRPr="00EE6DE8">
              <w:rPr>
                <w:rFonts w:eastAsiaTheme="minorHAnsi"/>
                <w:i/>
              </w:rPr>
              <w:t>- самоподготовка (подготовка к устному собеседованию, к практическим занятиям).</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8" w14:textId="77777777" w:rsidR="00EE6DE8" w:rsidRPr="00EE6DE8" w:rsidRDefault="00EE6DE8" w:rsidP="00EE6DE8">
      <w:pPr>
        <w:keepNext/>
        <w:suppressAutoHyphens/>
        <w:ind w:firstLine="709"/>
        <w:jc w:val="both"/>
        <w:rPr>
          <w:rFonts w:eastAsiaTheme="minorHAnsi"/>
          <w:szCs w:val="22"/>
          <w:lang w:eastAsia="en-US"/>
        </w:rPr>
      </w:pPr>
      <w:r w:rsidRPr="00EE6DE8">
        <w:rPr>
          <w:rFonts w:eastAsiaTheme="minorHAnsi"/>
          <w:szCs w:val="22"/>
          <w:lang w:eastAsia="en-US"/>
        </w:rPr>
        <w:t>Разделы дисциплины, изучаемые в 3 семестре</w:t>
      </w:r>
    </w:p>
    <w:p w14:paraId="0666D279" w14:textId="77777777" w:rsidR="00EE6DE8" w:rsidRPr="00EE6DE8" w:rsidRDefault="00EE6DE8" w:rsidP="00EE6DE8">
      <w:pPr>
        <w:keepNext/>
        <w:suppressAutoHyphens/>
        <w:ind w:firstLine="709"/>
        <w:jc w:val="both"/>
        <w:rPr>
          <w:rFonts w:eastAsiaTheme="minorHAnsi"/>
          <w:szCs w:val="22"/>
          <w:lang w:eastAsia="en-US"/>
        </w:rPr>
      </w:pP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2" w:name="Merge3" w:colFirst="2" w:colLast="6"/>
            <w:bookmarkStart w:id="3" w:name="Merge4" w:colFirst="1" w:colLast="1"/>
            <w:bookmarkStart w:id="4"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5" w:name="Merge1" w:colFirst="3" w:colLast="5"/>
            <w:bookmarkStart w:id="6" w:name="Merge0" w:colFirst="6" w:colLast="6"/>
            <w:bookmarkStart w:id="7" w:name="Merge2" w:colFirst="2" w:colLast="2"/>
            <w:bookmarkEnd w:id="2"/>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proofErr w:type="spellStart"/>
            <w:r w:rsidRPr="00EE6DE8">
              <w:rPr>
                <w:rFonts w:eastAsiaTheme="minorHAnsi"/>
                <w:szCs w:val="22"/>
                <w:lang w:eastAsia="en-US"/>
              </w:rPr>
              <w:t>внеауд</w:t>
            </w:r>
            <w:proofErr w:type="spellEnd"/>
            <w:r w:rsidRPr="00EE6DE8">
              <w:rPr>
                <w:rFonts w:eastAsiaTheme="minorHAnsi"/>
                <w:szCs w:val="22"/>
                <w:lang w:eastAsia="en-US"/>
              </w:rPr>
              <w:t>. работа</w:t>
            </w:r>
          </w:p>
        </w:tc>
      </w:tr>
      <w:bookmarkEnd w:id="5"/>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3"/>
      <w:bookmarkEnd w:id="4"/>
      <w:bookmarkEnd w:id="6"/>
      <w:bookmarkEnd w:id="7"/>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0666D308" w14:textId="77777777" w:rsidR="00EE6DE8" w:rsidRDefault="00EE6DE8" w:rsidP="005F62F1">
      <w:pPr>
        <w:ind w:left="-567" w:right="113" w:firstLine="709"/>
        <w:rPr>
          <w:b/>
        </w:rPr>
      </w:pPr>
    </w:p>
    <w:p w14:paraId="0666D309" w14:textId="77777777" w:rsidR="009B4D49" w:rsidRPr="005F62F1" w:rsidRDefault="005F62F1" w:rsidP="005F62F1">
      <w:pPr>
        <w:ind w:left="-567" w:right="113" w:firstLine="709"/>
        <w:rPr>
          <w:b/>
        </w:rPr>
      </w:pPr>
      <w:r>
        <w:rPr>
          <w:b/>
        </w:rPr>
        <w:t>2</w:t>
      </w:r>
      <w:r w:rsidR="009B4D49" w:rsidRPr="005F62F1">
        <w:rPr>
          <w:b/>
        </w:rPr>
        <w:t xml:space="preserve"> Методические указания по лекционным занятиям</w:t>
      </w:r>
    </w:p>
    <w:p w14:paraId="0666D30A" w14:textId="77777777" w:rsidR="00E37D39" w:rsidRPr="005F62F1" w:rsidRDefault="00E37D39" w:rsidP="005F62F1">
      <w:pPr>
        <w:ind w:left="-567" w:right="113" w:firstLine="709"/>
        <w:jc w:val="both"/>
      </w:pPr>
      <w:r w:rsidRPr="005F62F1">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666D30B" w14:textId="77777777" w:rsidR="009B4D49" w:rsidRPr="005F62F1" w:rsidRDefault="00E37D39" w:rsidP="005F62F1">
      <w:pPr>
        <w:ind w:left="-567" w:right="113" w:firstLine="709"/>
        <w:jc w:val="both"/>
      </w:pPr>
      <w:r w:rsidRPr="005F62F1">
        <w:lastRenderedPageBreak/>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0666D30C" w14:textId="77777777" w:rsidR="009B4D49" w:rsidRPr="005F62F1" w:rsidRDefault="009B4D49" w:rsidP="005F62F1">
      <w:pPr>
        <w:ind w:left="-567" w:right="113" w:firstLine="709"/>
      </w:pPr>
    </w:p>
    <w:p w14:paraId="0666D30D" w14:textId="77777777" w:rsidR="009B4D49" w:rsidRPr="005F62F1" w:rsidRDefault="005F62F1" w:rsidP="005F62F1">
      <w:pPr>
        <w:ind w:left="-567" w:right="113" w:firstLine="709"/>
        <w:rPr>
          <w:b/>
        </w:rPr>
      </w:pPr>
      <w:r>
        <w:rPr>
          <w:b/>
        </w:rPr>
        <w:t xml:space="preserve">3 </w:t>
      </w:r>
      <w:r w:rsidR="009B4D49" w:rsidRPr="005F62F1">
        <w:rPr>
          <w:b/>
        </w:rPr>
        <w:t>Методические указания по практическим занятиям</w:t>
      </w:r>
    </w:p>
    <w:p w14:paraId="0666D30E" w14:textId="77777777" w:rsidR="00DB651C" w:rsidRPr="005F62F1" w:rsidRDefault="00DB651C" w:rsidP="005F62F1">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0666D30F" w14:textId="77777777" w:rsidR="00DB651C" w:rsidRPr="005F62F1" w:rsidRDefault="00DB651C" w:rsidP="005F62F1">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0666D310" w14:textId="77777777" w:rsidR="00DB651C" w:rsidRPr="005F62F1" w:rsidRDefault="00DB651C" w:rsidP="005F62F1">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0666D311" w14:textId="77777777" w:rsidR="00DB651C" w:rsidRPr="005F62F1" w:rsidRDefault="00DB651C" w:rsidP="005F62F1">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0666D31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0666D31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0666D31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0666D31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0666D31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666D317" w14:textId="77777777" w:rsidR="00DB651C" w:rsidRPr="005F62F1" w:rsidRDefault="00DB651C" w:rsidP="005F62F1">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0666D31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0666D31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0666D31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w:t>
      </w:r>
      <w:r w:rsidRPr="005F62F1">
        <w:rPr>
          <w:rFonts w:eastAsia="Calibri"/>
          <w:color w:val="000000"/>
          <w:lang w:eastAsia="en-US"/>
        </w:rPr>
        <w:lastRenderedPageBreak/>
        <w:t xml:space="preserve">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0666D31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0666D31C"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666D31D"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0666D31E"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0666D31F"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0666D320"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666D32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0666D32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0666D323" w14:textId="77777777" w:rsidR="00DB651C" w:rsidRPr="005F62F1" w:rsidRDefault="00DB651C" w:rsidP="005F62F1">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0666D324" w14:textId="77777777" w:rsidR="00DB651C" w:rsidRPr="005F62F1" w:rsidRDefault="00DB651C" w:rsidP="005F62F1">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0666D325" w14:textId="77777777" w:rsidR="00DB651C" w:rsidRPr="005F62F1" w:rsidRDefault="00DB651C" w:rsidP="005F62F1">
      <w:pPr>
        <w:shd w:val="clear" w:color="auto" w:fill="FFFFFF"/>
        <w:tabs>
          <w:tab w:val="left" w:pos="9600"/>
        </w:tabs>
        <w:ind w:left="-567" w:right="113" w:firstLine="709"/>
        <w:jc w:val="both"/>
      </w:pPr>
      <w:r w:rsidRPr="005F62F1">
        <w:t>- извлечение необходимой информации из источников;</w:t>
      </w:r>
    </w:p>
    <w:p w14:paraId="0666D326" w14:textId="77777777" w:rsidR="00DB651C" w:rsidRPr="005F62F1" w:rsidRDefault="00DB651C" w:rsidP="005F62F1">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0666D327" w14:textId="77777777" w:rsidR="00DB651C" w:rsidRPr="005F62F1" w:rsidRDefault="00DB651C" w:rsidP="005F62F1">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0666D328" w14:textId="77777777" w:rsidR="00DB651C" w:rsidRPr="005F62F1" w:rsidRDefault="00DB651C" w:rsidP="005F62F1">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0666D329" w14:textId="77777777" w:rsidR="00DB651C" w:rsidRPr="005F62F1" w:rsidRDefault="00DB651C" w:rsidP="005F62F1">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0666D32A" w14:textId="77777777" w:rsidR="00DB651C" w:rsidRPr="005F62F1" w:rsidRDefault="00DB651C" w:rsidP="005F62F1">
      <w:pPr>
        <w:ind w:left="-567" w:right="113" w:firstLine="709"/>
        <w:jc w:val="both"/>
        <w:rPr>
          <w:snapToGrid w:val="0"/>
        </w:rPr>
      </w:pPr>
      <w:r w:rsidRPr="005F62F1">
        <w:rPr>
          <w:snapToGrid w:val="0"/>
        </w:rPr>
        <w:t>- выработка коммуникабельности и гуманизма.</w:t>
      </w:r>
    </w:p>
    <w:p w14:paraId="0666D32B" w14:textId="77777777" w:rsidR="00DB651C" w:rsidRPr="005F62F1" w:rsidRDefault="00DB651C" w:rsidP="005F62F1">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0666D32C"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 подготовке дидактической игры можно выделить следующие операции:</w:t>
      </w:r>
    </w:p>
    <w:p w14:paraId="0666D32D"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666D32E"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0666D32F"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0666D330"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0666D33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0666D33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0666D33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 максимально приблизить игру к реальным условиям;</w:t>
      </w:r>
    </w:p>
    <w:p w14:paraId="0666D33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0666D33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0666D33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666D33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0666D338" w14:textId="77777777" w:rsidR="00DB651C" w:rsidRPr="005F62F1" w:rsidRDefault="00DB651C" w:rsidP="005F62F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0666D339" w14:textId="77777777" w:rsidR="00DB651C" w:rsidRPr="005F62F1" w:rsidRDefault="00DB651C" w:rsidP="005F62F1">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0666D33A"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0666D33B"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666D33C"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0666D33D"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0666D33E"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0666D33F"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0666D340"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0666D34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0666D34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0666D34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0666D344" w14:textId="77777777" w:rsidR="00DB651C" w:rsidRPr="005F62F1" w:rsidRDefault="00DB651C" w:rsidP="005F62F1">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666D345" w14:textId="77777777" w:rsidR="00FF574B" w:rsidRDefault="00DB651C" w:rsidP="00FF574B">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0666D346" w14:textId="77777777" w:rsidR="00FF574B" w:rsidRDefault="00F551FB" w:rsidP="00FF574B">
      <w:pPr>
        <w:tabs>
          <w:tab w:val="num" w:pos="0"/>
          <w:tab w:val="left" w:pos="9360"/>
        </w:tabs>
        <w:ind w:left="-567" w:right="113" w:firstLine="709"/>
        <w:jc w:val="both"/>
      </w:pPr>
      <w:r w:rsidRPr="005F62F1">
        <w:rPr>
          <w:rFonts w:eastAsia="Calibri"/>
          <w:b/>
          <w:lang w:eastAsia="en-US"/>
        </w:rPr>
        <w:t>Основная литература для подготовки к семинарским занятиям</w:t>
      </w:r>
    </w:p>
    <w:p w14:paraId="0666D347" w14:textId="77777777" w:rsidR="00FF574B" w:rsidRDefault="00FF574B" w:rsidP="00FF574B">
      <w:pPr>
        <w:pStyle w:val="a9"/>
        <w:numPr>
          <w:ilvl w:val="0"/>
          <w:numId w:val="14"/>
        </w:numPr>
        <w:tabs>
          <w:tab w:val="num" w:pos="0"/>
          <w:tab w:val="left" w:pos="9360"/>
        </w:tabs>
        <w:ind w:left="-426" w:right="113" w:firstLine="0"/>
        <w:jc w:val="both"/>
      </w:pPr>
      <w:r w:rsidRPr="00FF574B">
        <w:rPr>
          <w:bCs/>
        </w:rPr>
        <w:t>Философия</w:t>
      </w:r>
      <w:r w:rsidRPr="0040334C">
        <w:t>:</w:t>
      </w:r>
      <w:r w:rsidRPr="00FF574B">
        <w:rPr>
          <w:i/>
        </w:rPr>
        <w:t xml:space="preserve"> </w:t>
      </w:r>
      <w:r w:rsidRPr="0040334C">
        <w:t xml:space="preserve">учебник и практикум для академического бакалавриата / под ред. В. Н. Лавриненко; </w:t>
      </w:r>
      <w:proofErr w:type="spellStart"/>
      <w:r w:rsidRPr="0040334C">
        <w:t>Финанс</w:t>
      </w:r>
      <w:proofErr w:type="spellEnd"/>
      <w:r w:rsidRPr="0040334C">
        <w:t xml:space="preserve">. ун-т при Правительстве Рос. </w:t>
      </w:r>
      <w:proofErr w:type="gramStart"/>
      <w:r w:rsidRPr="0040334C">
        <w:t>федерации.-</w:t>
      </w:r>
      <w:proofErr w:type="gramEnd"/>
      <w:r w:rsidRPr="0040334C">
        <w:t xml:space="preserve"> 7-е изд., </w:t>
      </w:r>
      <w:proofErr w:type="spellStart"/>
      <w:r w:rsidRPr="0040334C">
        <w:t>перераб</w:t>
      </w:r>
      <w:proofErr w:type="spellEnd"/>
      <w:r w:rsidRPr="0040334C">
        <w:t xml:space="preserve">. и доп. – Москва : </w:t>
      </w:r>
      <w:proofErr w:type="spellStart"/>
      <w:r w:rsidRPr="0040334C">
        <w:t>Юрайт</w:t>
      </w:r>
      <w:proofErr w:type="spellEnd"/>
      <w:r w:rsidRPr="0040334C">
        <w:t>, 2015. - 711 с. - ISBN 978-5-9916-4191-3.</w:t>
      </w:r>
    </w:p>
    <w:p w14:paraId="0666D348" w14:textId="77777777" w:rsidR="00FF574B" w:rsidRDefault="00FF574B" w:rsidP="00FF574B">
      <w:pPr>
        <w:pStyle w:val="a9"/>
        <w:tabs>
          <w:tab w:val="num" w:pos="0"/>
          <w:tab w:val="left" w:pos="9360"/>
        </w:tabs>
        <w:ind w:left="-426" w:right="113"/>
        <w:jc w:val="both"/>
        <w:rPr>
          <w:b/>
        </w:rPr>
      </w:pPr>
    </w:p>
    <w:p w14:paraId="30C1EB7F" w14:textId="77777777" w:rsidR="006354B4" w:rsidRPr="008F6B5E" w:rsidRDefault="006354B4" w:rsidP="006354B4">
      <w:pPr>
        <w:keepNext/>
        <w:suppressAutoHyphens/>
        <w:ind w:firstLine="709"/>
        <w:jc w:val="both"/>
        <w:outlineLvl w:val="1"/>
        <w:rPr>
          <w:b/>
        </w:rPr>
      </w:pPr>
      <w:r w:rsidRPr="008F6B5E">
        <w:rPr>
          <w:b/>
        </w:rPr>
        <w:t>5.2 Дополнительная литература</w:t>
      </w:r>
    </w:p>
    <w:p w14:paraId="1A7421A9" w14:textId="77777777" w:rsidR="006354B4" w:rsidRPr="008F6B5E" w:rsidRDefault="006354B4" w:rsidP="006354B4">
      <w:pPr>
        <w:keepNext/>
        <w:numPr>
          <w:ilvl w:val="0"/>
          <w:numId w:val="11"/>
        </w:numPr>
        <w:suppressAutoHyphens/>
        <w:ind w:left="709" w:hanging="283"/>
        <w:jc w:val="both"/>
        <w:outlineLvl w:val="1"/>
      </w:pPr>
      <w:r w:rsidRPr="008F6B5E">
        <w:t xml:space="preserve">Дедюлина М.А. Творческие задания по философии. Модуль 1. История философии [Электронный ресурс]: учебное пособие/ Дедюлина М.А., </w:t>
      </w:r>
      <w:proofErr w:type="spellStart"/>
      <w:r w:rsidRPr="008F6B5E">
        <w:t>Папченко</w:t>
      </w:r>
      <w:proofErr w:type="spellEnd"/>
      <w:r w:rsidRPr="008F6B5E">
        <w:t xml:space="preserve"> Е.В.— Электрон. текстовые </w:t>
      </w:r>
      <w:proofErr w:type="gramStart"/>
      <w:r w:rsidRPr="008F6B5E">
        <w:t>данные.—</w:t>
      </w:r>
      <w:proofErr w:type="gramEnd"/>
      <w:r w:rsidRPr="008F6B5E">
        <w:t xml:space="preserve"> Таганрог: Издательство Южного федерального университета, 2010.— 160 c.— Режим доступа: http://www.iprbookshop.ru/47148.html.— ЭБС «</w:t>
      </w:r>
      <w:proofErr w:type="spellStart"/>
      <w:r w:rsidRPr="008F6B5E">
        <w:t>IPRbooks</w:t>
      </w:r>
      <w:proofErr w:type="spellEnd"/>
      <w:r w:rsidRPr="008F6B5E">
        <w:t>»</w:t>
      </w:r>
    </w:p>
    <w:p w14:paraId="743BFE8C" w14:textId="77777777" w:rsidR="006354B4" w:rsidRPr="008F6B5E" w:rsidRDefault="006354B4" w:rsidP="006354B4">
      <w:pPr>
        <w:keepNext/>
        <w:numPr>
          <w:ilvl w:val="0"/>
          <w:numId w:val="11"/>
        </w:numPr>
        <w:suppressAutoHyphens/>
        <w:ind w:left="709" w:hanging="283"/>
        <w:jc w:val="both"/>
        <w:outlineLvl w:val="1"/>
        <w:rPr>
          <w:u w:val="single"/>
        </w:rPr>
      </w:pPr>
      <w:r w:rsidRPr="008F6B5E">
        <w:t>Мазурова M.P. Краткий очерк истории философии (философия Древнего мира - философия Нового времени XVII в.) [Электронный ресурс]: учебное пособие/ Мазурова M.P.— Электрон. текстовые данные.— Новосибирск: Новосибирский государственный технический университет, 2012.— 56 c.— Режим доступа: http://www.iprbookshop.ru/47693.html.— ЭБС «</w:t>
      </w:r>
      <w:proofErr w:type="spellStart"/>
      <w:r w:rsidRPr="008F6B5E">
        <w:t>IPRbooks</w:t>
      </w:r>
      <w:proofErr w:type="spellEnd"/>
      <w:r w:rsidRPr="008F6B5E">
        <w:t>»</w:t>
      </w:r>
    </w:p>
    <w:p w14:paraId="3CA13CDE" w14:textId="77777777" w:rsidR="006354B4" w:rsidRPr="008F6B5E" w:rsidRDefault="006354B4" w:rsidP="006354B4">
      <w:pPr>
        <w:keepNext/>
        <w:numPr>
          <w:ilvl w:val="0"/>
          <w:numId w:val="11"/>
        </w:numPr>
        <w:suppressAutoHyphens/>
        <w:ind w:left="709" w:hanging="283"/>
        <w:jc w:val="both"/>
        <w:outlineLvl w:val="1"/>
      </w:pPr>
      <w:r w:rsidRPr="008F6B5E">
        <w:t xml:space="preserve">Сабиров В.Ш. Хрестоматия по философии. Книга 1. История философии. Часть 1. Античная философия [Электронный ресурс]: учебное пособие/ Сабиров В.Ш., </w:t>
      </w:r>
      <w:proofErr w:type="spellStart"/>
      <w:r w:rsidRPr="008F6B5E">
        <w:t>Соина</w:t>
      </w:r>
      <w:proofErr w:type="spellEnd"/>
      <w:r w:rsidRPr="008F6B5E">
        <w:t xml:space="preserve"> О.С.— Электрон. текстовые </w:t>
      </w:r>
      <w:proofErr w:type="gramStart"/>
      <w:r w:rsidRPr="008F6B5E">
        <w:t>данные.—</w:t>
      </w:r>
      <w:proofErr w:type="gramEnd"/>
      <w:r w:rsidRPr="008F6B5E">
        <w:t xml:space="preserve"> Новосибирск: Новосибирский государственный архитектурно-строительный университет (</w:t>
      </w:r>
      <w:proofErr w:type="spellStart"/>
      <w:r w:rsidRPr="008F6B5E">
        <w:t>Сибстрин</w:t>
      </w:r>
      <w:proofErr w:type="spellEnd"/>
      <w:r w:rsidRPr="008F6B5E">
        <w:t xml:space="preserve">), ЭБС АСВ, </w:t>
      </w:r>
      <w:r w:rsidRPr="008F6B5E">
        <w:lastRenderedPageBreak/>
        <w:t>2008.— 105 c.— Режим доступа: http://www.iprbookshop.ru/68859.html.— ЭБС «</w:t>
      </w:r>
      <w:proofErr w:type="spellStart"/>
      <w:r w:rsidRPr="008F6B5E">
        <w:t>IPRbooks</w:t>
      </w:r>
      <w:proofErr w:type="spellEnd"/>
      <w:r w:rsidRPr="008F6B5E">
        <w:t>»</w:t>
      </w:r>
    </w:p>
    <w:p w14:paraId="10A8DBCE" w14:textId="77777777" w:rsidR="006354B4" w:rsidRPr="008F6B5E" w:rsidRDefault="006354B4" w:rsidP="006354B4">
      <w:pPr>
        <w:keepNext/>
        <w:numPr>
          <w:ilvl w:val="0"/>
          <w:numId w:val="11"/>
        </w:numPr>
        <w:suppressAutoHyphens/>
        <w:ind w:left="709" w:hanging="283"/>
        <w:jc w:val="both"/>
        <w:outlineLvl w:val="1"/>
        <w:rPr>
          <w:u w:val="single"/>
        </w:rPr>
      </w:pPr>
      <w:r w:rsidRPr="008F6B5E">
        <w:t xml:space="preserve">Философия. Часть II. Философия бытия, познания, человека, общества и культуры [Электронный ресурс]: учебное пособие/ — Электрон. текстовые </w:t>
      </w:r>
      <w:proofErr w:type="gramStart"/>
      <w:r w:rsidRPr="008F6B5E">
        <w:t>данные.—</w:t>
      </w:r>
      <w:proofErr w:type="gramEnd"/>
      <w:r w:rsidRPr="008F6B5E">
        <w:t xml:space="preserve"> Владивосток: Владивостокский филиал Российской таможенной академии, 2008.— 156 c.— Режим доступа: http://www.iprbookshop.ru/25809.html.— ЭБС «</w:t>
      </w:r>
      <w:proofErr w:type="spellStart"/>
      <w:r w:rsidRPr="008F6B5E">
        <w:t>IPRbooks</w:t>
      </w:r>
      <w:proofErr w:type="spellEnd"/>
      <w:r w:rsidRPr="008F6B5E">
        <w:t xml:space="preserve">»    </w:t>
      </w:r>
    </w:p>
    <w:p w14:paraId="3905286E" w14:textId="77777777" w:rsidR="006354B4" w:rsidRPr="008F6B5E" w:rsidRDefault="006354B4" w:rsidP="006354B4">
      <w:pPr>
        <w:keepNext/>
        <w:suppressAutoHyphens/>
        <w:ind w:firstLine="709"/>
        <w:jc w:val="both"/>
        <w:outlineLvl w:val="1"/>
        <w:rPr>
          <w:b/>
        </w:rPr>
      </w:pPr>
    </w:p>
    <w:p w14:paraId="15ECDF74" w14:textId="77777777" w:rsidR="006354B4" w:rsidRPr="008F6B5E" w:rsidRDefault="006354B4" w:rsidP="006354B4">
      <w:pPr>
        <w:keepNext/>
        <w:suppressAutoHyphens/>
        <w:ind w:firstLine="709"/>
        <w:jc w:val="both"/>
        <w:outlineLvl w:val="1"/>
        <w:rPr>
          <w:b/>
        </w:rPr>
      </w:pPr>
      <w:r w:rsidRPr="008F6B5E">
        <w:rPr>
          <w:b/>
        </w:rPr>
        <w:t>5.3 Периодические издания</w:t>
      </w:r>
    </w:p>
    <w:p w14:paraId="3B45104D" w14:textId="77777777" w:rsidR="006354B4" w:rsidRPr="008F6B5E" w:rsidRDefault="006354B4" w:rsidP="006354B4">
      <w:pPr>
        <w:keepNext/>
        <w:numPr>
          <w:ilvl w:val="0"/>
          <w:numId w:val="12"/>
        </w:numPr>
        <w:suppressAutoHyphens/>
        <w:ind w:left="709" w:hanging="284"/>
        <w:jc w:val="both"/>
        <w:outlineLvl w:val="1"/>
        <w:rPr>
          <w:color w:val="000000"/>
        </w:rPr>
      </w:pPr>
      <w:r w:rsidRPr="008F6B5E">
        <w:rPr>
          <w:color w:val="000000"/>
        </w:rPr>
        <w:t xml:space="preserve">Вопросы </w:t>
      </w:r>
      <w:proofErr w:type="gramStart"/>
      <w:r w:rsidRPr="008F6B5E">
        <w:rPr>
          <w:color w:val="000000"/>
        </w:rPr>
        <w:t>философии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Pr>
          <w:color w:val="000000"/>
        </w:rPr>
        <w:t>1</w:t>
      </w:r>
      <w:r w:rsidRPr="008F6B5E">
        <w:rPr>
          <w:color w:val="000000"/>
        </w:rPr>
        <w:t>.</w:t>
      </w:r>
    </w:p>
    <w:p w14:paraId="638F256C" w14:textId="77777777" w:rsidR="006354B4" w:rsidRPr="008F6B5E" w:rsidRDefault="006354B4" w:rsidP="006354B4">
      <w:pPr>
        <w:keepNext/>
        <w:numPr>
          <w:ilvl w:val="0"/>
          <w:numId w:val="12"/>
        </w:numPr>
        <w:suppressAutoHyphens/>
        <w:ind w:left="709" w:hanging="284"/>
        <w:jc w:val="both"/>
        <w:outlineLvl w:val="1"/>
        <w:rPr>
          <w:color w:val="000000"/>
        </w:rPr>
      </w:pPr>
      <w:r w:rsidRPr="008F6B5E">
        <w:rPr>
          <w:color w:val="000000"/>
        </w:rPr>
        <w:t xml:space="preserve">Философские </w:t>
      </w:r>
      <w:proofErr w:type="gramStart"/>
      <w:r w:rsidRPr="008F6B5E">
        <w:rPr>
          <w:color w:val="000000"/>
        </w:rPr>
        <w:t>науки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Pr>
          <w:color w:val="000000"/>
        </w:rPr>
        <w:t>1</w:t>
      </w:r>
      <w:r w:rsidRPr="008F6B5E">
        <w:rPr>
          <w:color w:val="000000"/>
        </w:rPr>
        <w:t>.</w:t>
      </w:r>
    </w:p>
    <w:p w14:paraId="059B9D12" w14:textId="77777777" w:rsidR="006354B4" w:rsidRPr="008F6B5E" w:rsidRDefault="006354B4" w:rsidP="006354B4">
      <w:pPr>
        <w:keepNext/>
        <w:suppressAutoHyphens/>
        <w:ind w:left="709"/>
        <w:jc w:val="both"/>
        <w:outlineLvl w:val="1"/>
        <w:rPr>
          <w:color w:val="000000"/>
        </w:rPr>
      </w:pPr>
    </w:p>
    <w:p w14:paraId="3DE5602E" w14:textId="77777777" w:rsidR="006354B4" w:rsidRPr="008F6B5E" w:rsidRDefault="006354B4" w:rsidP="006354B4">
      <w:pPr>
        <w:keepNext/>
        <w:suppressAutoHyphens/>
        <w:ind w:firstLine="709"/>
        <w:jc w:val="both"/>
        <w:outlineLvl w:val="1"/>
        <w:rPr>
          <w:b/>
        </w:rPr>
      </w:pPr>
      <w:r w:rsidRPr="008F6B5E">
        <w:rPr>
          <w:b/>
        </w:rPr>
        <w:t>5.4 Интернет-ресурсы</w:t>
      </w:r>
    </w:p>
    <w:p w14:paraId="23A797BC" w14:textId="77777777" w:rsidR="006354B4" w:rsidRPr="008F6B5E" w:rsidRDefault="00137169" w:rsidP="006354B4">
      <w:pPr>
        <w:suppressAutoHyphens/>
        <w:ind w:firstLine="709"/>
        <w:contextualSpacing/>
        <w:jc w:val="both"/>
      </w:pPr>
      <w:hyperlink r:id="rId7" w:history="1">
        <w:r w:rsidR="006354B4" w:rsidRPr="008F6B5E">
          <w:rPr>
            <w:color w:val="0000FF"/>
            <w:u w:val="single"/>
          </w:rPr>
          <w:t>http://www.humanities.edu.ru/</w:t>
        </w:r>
      </w:hyperlink>
      <w:r w:rsidR="006354B4" w:rsidRPr="008F6B5E">
        <w:t xml:space="preserve"> - Портал «Гуманитарное образование» </w:t>
      </w:r>
    </w:p>
    <w:p w14:paraId="6F74C4A9" w14:textId="77777777" w:rsidR="006354B4" w:rsidRPr="008F6B5E" w:rsidRDefault="00137169" w:rsidP="006354B4">
      <w:pPr>
        <w:suppressAutoHyphens/>
        <w:ind w:firstLine="709"/>
        <w:contextualSpacing/>
        <w:jc w:val="both"/>
      </w:pPr>
      <w:hyperlink r:id="rId8" w:history="1">
        <w:r w:rsidR="006354B4" w:rsidRPr="008F6B5E">
          <w:rPr>
            <w:color w:val="0000FF"/>
            <w:u w:val="single"/>
          </w:rPr>
          <w:t>http://www.edu.ru/</w:t>
        </w:r>
      </w:hyperlink>
      <w:r w:rsidR="006354B4" w:rsidRPr="008F6B5E">
        <w:t xml:space="preserve"> - Федеральный портал «Российское образование» </w:t>
      </w:r>
    </w:p>
    <w:p w14:paraId="6DA97E87" w14:textId="77777777" w:rsidR="006354B4" w:rsidRPr="008F6B5E" w:rsidRDefault="00137169" w:rsidP="006354B4">
      <w:pPr>
        <w:suppressAutoHyphens/>
        <w:ind w:firstLine="709"/>
        <w:contextualSpacing/>
        <w:jc w:val="both"/>
      </w:pPr>
      <w:hyperlink r:id="rId9" w:history="1">
        <w:r w:rsidR="006354B4" w:rsidRPr="008F6B5E">
          <w:rPr>
            <w:color w:val="0000FF"/>
            <w:u w:val="single"/>
          </w:rPr>
          <w:t>http://school-collection.edu.ru/</w:t>
        </w:r>
      </w:hyperlink>
      <w:r w:rsidR="006354B4" w:rsidRPr="008F6B5E">
        <w:t xml:space="preserve"> - Федеральное хранилище «Единая коллекция цифровых образовательных ресурсов» </w:t>
      </w:r>
    </w:p>
    <w:p w14:paraId="1A67FA0E" w14:textId="77777777" w:rsidR="006354B4" w:rsidRPr="008F6B5E" w:rsidRDefault="00137169" w:rsidP="006354B4">
      <w:pPr>
        <w:suppressAutoHyphens/>
        <w:ind w:firstLine="709"/>
        <w:contextualSpacing/>
        <w:jc w:val="both"/>
      </w:pPr>
      <w:hyperlink r:id="rId10" w:history="1">
        <w:r w:rsidR="006354B4" w:rsidRPr="008F6B5E">
          <w:rPr>
            <w:color w:val="0000FF"/>
            <w:u w:val="single"/>
          </w:rPr>
          <w:t>www.soc.lib.ru</w:t>
        </w:r>
      </w:hyperlink>
      <w:r w:rsidR="006354B4" w:rsidRPr="008F6B5E">
        <w:t xml:space="preserve"> - Русский гуманитарный интернет-университет</w:t>
      </w:r>
    </w:p>
    <w:p w14:paraId="21F0AC0D" w14:textId="77777777" w:rsidR="006354B4" w:rsidRPr="008F6B5E" w:rsidRDefault="00137169" w:rsidP="006354B4">
      <w:pPr>
        <w:suppressAutoHyphens/>
        <w:ind w:firstLine="709"/>
        <w:contextualSpacing/>
        <w:jc w:val="both"/>
      </w:pPr>
      <w:hyperlink r:id="rId11" w:history="1">
        <w:r w:rsidR="006354B4" w:rsidRPr="008F6B5E">
          <w:rPr>
            <w:color w:val="0000FF"/>
            <w:u w:val="single"/>
          </w:rPr>
          <w:t>http://philos.msu.ru/</w:t>
        </w:r>
      </w:hyperlink>
      <w:r w:rsidR="006354B4" w:rsidRPr="008F6B5E">
        <w:t xml:space="preserve"> - Библиотека философского факультета МГУ</w:t>
      </w:r>
    </w:p>
    <w:p w14:paraId="290534B5" w14:textId="77777777" w:rsidR="006354B4" w:rsidRPr="008F6B5E" w:rsidRDefault="00137169" w:rsidP="006354B4">
      <w:pPr>
        <w:suppressAutoHyphens/>
        <w:ind w:firstLine="709"/>
        <w:jc w:val="both"/>
      </w:pPr>
      <w:hyperlink r:id="rId12" w:history="1">
        <w:r w:rsidR="006354B4" w:rsidRPr="008F6B5E">
          <w:rPr>
            <w:color w:val="0000FF"/>
            <w:u w:val="single"/>
          </w:rPr>
          <w:t>https://openedu.ru/course/</w:t>
        </w:r>
      </w:hyperlink>
      <w:r w:rsidR="006354B4" w:rsidRPr="008F6B5E">
        <w:t xml:space="preserve"> - «Открытое образование», Каталог курсов, МООК: «История и философия техники»;</w:t>
      </w:r>
    </w:p>
    <w:p w14:paraId="47C3D041" w14:textId="77777777" w:rsidR="006354B4" w:rsidRPr="008F6B5E" w:rsidRDefault="00137169" w:rsidP="006354B4">
      <w:pPr>
        <w:suppressAutoHyphens/>
        <w:ind w:firstLine="709"/>
        <w:jc w:val="both"/>
      </w:pPr>
      <w:hyperlink r:id="rId13" w:history="1">
        <w:r w:rsidR="006354B4" w:rsidRPr="008F6B5E">
          <w:rPr>
            <w:color w:val="0000FF"/>
            <w:u w:val="single"/>
          </w:rPr>
          <w:t>https://openedu.ru/course/</w:t>
        </w:r>
      </w:hyperlink>
      <w:r w:rsidR="006354B4" w:rsidRPr="008F6B5E">
        <w:t xml:space="preserve"> - «Открытое образование», Каталог курсов, </w:t>
      </w:r>
      <w:proofErr w:type="gramStart"/>
      <w:r w:rsidR="006354B4" w:rsidRPr="008F6B5E">
        <w:t>МООК:  «</w:t>
      </w:r>
      <w:proofErr w:type="gramEnd"/>
      <w:r w:rsidR="006354B4" w:rsidRPr="008F6B5E">
        <w:t>Философия»</w:t>
      </w:r>
    </w:p>
    <w:p w14:paraId="3E1938E9" w14:textId="77777777" w:rsidR="006354B4" w:rsidRPr="008F6B5E" w:rsidRDefault="00137169" w:rsidP="006354B4">
      <w:pPr>
        <w:suppressAutoHyphens/>
        <w:ind w:firstLine="709"/>
        <w:jc w:val="both"/>
      </w:pPr>
      <w:hyperlink r:id="rId14" w:history="1">
        <w:r w:rsidR="006354B4" w:rsidRPr="008F6B5E">
          <w:rPr>
            <w:color w:val="0000FF"/>
            <w:u w:val="single"/>
          </w:rPr>
          <w:t>https://openedu.ru/course/</w:t>
        </w:r>
      </w:hyperlink>
      <w:r w:rsidR="006354B4" w:rsidRPr="008F6B5E">
        <w:t xml:space="preserve"> - «Открытое образование», Каталог курсов, МООК: «История и философия науки. Общие проблемы философии науки. Философия социально-гуманитарных наук.»</w:t>
      </w:r>
    </w:p>
    <w:p w14:paraId="68A920AD" w14:textId="77777777" w:rsidR="006354B4" w:rsidRPr="008F6B5E" w:rsidRDefault="00137169" w:rsidP="006354B4">
      <w:pPr>
        <w:suppressAutoHyphens/>
        <w:ind w:firstLine="709"/>
        <w:jc w:val="both"/>
      </w:pPr>
      <w:hyperlink r:id="rId15" w:history="1">
        <w:r w:rsidR="006354B4" w:rsidRPr="008F6B5E">
          <w:rPr>
            <w:color w:val="0000FF"/>
            <w:u w:val="single"/>
            <w:lang w:val="en-US"/>
          </w:rPr>
          <w:t>https</w:t>
        </w:r>
        <w:r w:rsidR="006354B4" w:rsidRPr="008F6B5E">
          <w:rPr>
            <w:color w:val="0000FF"/>
            <w:u w:val="single"/>
          </w:rPr>
          <w:t>://</w:t>
        </w:r>
        <w:r w:rsidR="006354B4" w:rsidRPr="008F6B5E">
          <w:rPr>
            <w:color w:val="0000FF"/>
            <w:u w:val="single"/>
            <w:lang w:val="en-US"/>
          </w:rPr>
          <w:t>www</w:t>
        </w:r>
        <w:r w:rsidR="006354B4" w:rsidRPr="008F6B5E">
          <w:rPr>
            <w:color w:val="0000FF"/>
            <w:u w:val="single"/>
          </w:rPr>
          <w:t>.</w:t>
        </w:r>
        <w:proofErr w:type="spellStart"/>
        <w:r w:rsidR="006354B4" w:rsidRPr="008F6B5E">
          <w:rPr>
            <w:color w:val="0000FF"/>
            <w:u w:val="single"/>
            <w:lang w:val="en-US"/>
          </w:rPr>
          <w:t>coursera</w:t>
        </w:r>
        <w:proofErr w:type="spellEnd"/>
        <w:r w:rsidR="006354B4" w:rsidRPr="008F6B5E">
          <w:rPr>
            <w:color w:val="0000FF"/>
            <w:u w:val="single"/>
          </w:rPr>
          <w:t>.</w:t>
        </w:r>
        <w:r w:rsidR="006354B4" w:rsidRPr="008F6B5E">
          <w:rPr>
            <w:color w:val="0000FF"/>
            <w:u w:val="single"/>
            <w:lang w:val="en-US"/>
          </w:rPr>
          <w:t>org</w:t>
        </w:r>
        <w:r w:rsidR="006354B4" w:rsidRPr="008F6B5E">
          <w:rPr>
            <w:color w:val="0000FF"/>
            <w:u w:val="single"/>
          </w:rPr>
          <w:t>/</w:t>
        </w:r>
        <w:r w:rsidR="006354B4" w:rsidRPr="008F6B5E">
          <w:rPr>
            <w:color w:val="0000FF"/>
            <w:u w:val="single"/>
            <w:lang w:val="en-US"/>
          </w:rPr>
          <w:t>learn</w:t>
        </w:r>
        <w:r w:rsidR="006354B4" w:rsidRPr="008F6B5E">
          <w:rPr>
            <w:color w:val="0000FF"/>
            <w:u w:val="single"/>
          </w:rPr>
          <w:t>/</w:t>
        </w:r>
        <w:proofErr w:type="spellStart"/>
        <w:r w:rsidR="006354B4" w:rsidRPr="008F6B5E">
          <w:rPr>
            <w:color w:val="0000FF"/>
            <w:u w:val="single"/>
            <w:lang w:val="en-US"/>
          </w:rPr>
          <w:t>osnovy</w:t>
        </w:r>
        <w:proofErr w:type="spellEnd"/>
        <w:r w:rsidR="006354B4" w:rsidRPr="008F6B5E">
          <w:rPr>
            <w:color w:val="0000FF"/>
            <w:u w:val="single"/>
          </w:rPr>
          <w:t>-</w:t>
        </w:r>
        <w:proofErr w:type="spellStart"/>
        <w:r w:rsidR="006354B4" w:rsidRPr="008F6B5E">
          <w:rPr>
            <w:color w:val="0000FF"/>
            <w:u w:val="single"/>
            <w:lang w:val="en-US"/>
          </w:rPr>
          <w:t>filosofii</w:t>
        </w:r>
        <w:proofErr w:type="spellEnd"/>
      </w:hyperlink>
      <w:r w:rsidR="006354B4" w:rsidRPr="008F6B5E">
        <w:t xml:space="preserve"> - «</w:t>
      </w:r>
      <w:r w:rsidR="006354B4" w:rsidRPr="008F6B5E">
        <w:rPr>
          <w:lang w:val="en-US"/>
        </w:rPr>
        <w:t>Coursera</w:t>
      </w:r>
      <w:r w:rsidR="006354B4" w:rsidRPr="008F6B5E">
        <w:t>», МООК: «Основы философии: о чем спорят философы сегодня»</w:t>
      </w:r>
    </w:p>
    <w:p w14:paraId="3B578B7A" w14:textId="77777777" w:rsidR="006354B4" w:rsidRPr="008F6B5E" w:rsidRDefault="00137169" w:rsidP="006354B4">
      <w:pPr>
        <w:suppressAutoHyphens/>
        <w:ind w:firstLine="709"/>
        <w:jc w:val="both"/>
      </w:pPr>
      <w:hyperlink r:id="rId16" w:history="1">
        <w:r w:rsidR="006354B4" w:rsidRPr="008F6B5E">
          <w:rPr>
            <w:color w:val="0000FF"/>
            <w:u w:val="single"/>
          </w:rPr>
          <w:t>https://universarium.org/course/739</w:t>
        </w:r>
      </w:hyperlink>
      <w:r w:rsidR="006354B4" w:rsidRPr="008F6B5E">
        <w:t xml:space="preserve"> -«</w:t>
      </w:r>
      <w:proofErr w:type="spellStart"/>
      <w:r w:rsidR="006354B4" w:rsidRPr="008F6B5E">
        <w:t>Универсариум</w:t>
      </w:r>
      <w:proofErr w:type="spellEnd"/>
      <w:r w:rsidR="006354B4" w:rsidRPr="008F6B5E">
        <w:t>», Курсы, МООК: «</w:t>
      </w:r>
      <w:proofErr w:type="gramStart"/>
      <w:r w:rsidR="006354B4" w:rsidRPr="008F6B5E">
        <w:t>Философия:  искусство</w:t>
      </w:r>
      <w:proofErr w:type="gramEnd"/>
      <w:r w:rsidR="006354B4" w:rsidRPr="008F6B5E">
        <w:t xml:space="preserve"> создавать проблемы»</w:t>
      </w:r>
    </w:p>
    <w:p w14:paraId="288EA01D" w14:textId="77777777" w:rsidR="006354B4" w:rsidRPr="008F6B5E" w:rsidRDefault="00137169" w:rsidP="006354B4">
      <w:pPr>
        <w:suppressAutoHyphens/>
        <w:ind w:firstLine="709"/>
        <w:jc w:val="both"/>
      </w:pPr>
      <w:hyperlink r:id="rId17" w:history="1">
        <w:r w:rsidR="006354B4" w:rsidRPr="008F6B5E">
          <w:rPr>
            <w:color w:val="0000FF"/>
            <w:u w:val="single"/>
          </w:rPr>
          <w:t>https://universarium.org/course/718</w:t>
        </w:r>
      </w:hyperlink>
      <w:r w:rsidR="006354B4" w:rsidRPr="008F6B5E">
        <w:t xml:space="preserve"> - «</w:t>
      </w:r>
      <w:proofErr w:type="spellStart"/>
      <w:r w:rsidR="006354B4" w:rsidRPr="008F6B5E">
        <w:t>Универсариум</w:t>
      </w:r>
      <w:proofErr w:type="spellEnd"/>
      <w:r w:rsidR="006354B4" w:rsidRPr="008F6B5E">
        <w:t xml:space="preserve">», Курсы, МООК: «Философия науки: </w:t>
      </w:r>
      <w:proofErr w:type="spellStart"/>
      <w:r w:rsidR="006354B4" w:rsidRPr="008F6B5E">
        <w:t>социогуманитарный</w:t>
      </w:r>
      <w:proofErr w:type="spellEnd"/>
      <w:r w:rsidR="006354B4" w:rsidRPr="008F6B5E">
        <w:t xml:space="preserve"> курс»</w:t>
      </w:r>
    </w:p>
    <w:p w14:paraId="0666D35B" w14:textId="77777777" w:rsidR="00FB2A09" w:rsidRPr="0040334C" w:rsidRDefault="00FB2A09" w:rsidP="00FB2A09">
      <w:pPr>
        <w:keepNext/>
        <w:suppressAutoHyphens/>
        <w:ind w:left="426" w:firstLine="283"/>
        <w:jc w:val="both"/>
        <w:outlineLvl w:val="1"/>
        <w:rPr>
          <w:b/>
        </w:rPr>
      </w:pPr>
      <w:r w:rsidRPr="0040334C">
        <w:rPr>
          <w:b/>
        </w:rPr>
        <w:t>Программное обеспечение, профессиональные базы данных и информационные справочные системы современных информационных технологий</w:t>
      </w:r>
    </w:p>
    <w:p w14:paraId="0666D35C" w14:textId="77777777" w:rsidR="00FB2A09" w:rsidRPr="001665BD" w:rsidRDefault="00FB2A09" w:rsidP="00FB2A09">
      <w:pPr>
        <w:keepNext/>
        <w:suppressAutoHyphens/>
        <w:ind w:firstLine="709"/>
        <w:jc w:val="both"/>
        <w:outlineLvl w:val="0"/>
      </w:pPr>
      <w:bookmarkStart w:id="8" w:name="_Hlk25655431"/>
      <w:r w:rsidRPr="001665BD">
        <w:t xml:space="preserve">1. Бесплатное средство просмотра файлов PDF </w:t>
      </w:r>
      <w:proofErr w:type="spellStart"/>
      <w:r w:rsidRPr="001665BD">
        <w:t>Adobe</w:t>
      </w:r>
      <w:proofErr w:type="spellEnd"/>
      <w:r w:rsidRPr="001665BD">
        <w:t xml:space="preserve"> </w:t>
      </w:r>
      <w:proofErr w:type="spellStart"/>
      <w:r w:rsidRPr="001665BD">
        <w:t>Reader</w:t>
      </w:r>
      <w:proofErr w:type="spellEnd"/>
      <w:r w:rsidRPr="001665BD">
        <w:t xml:space="preserve">. Доступна бесплатно после принятия условий лицензионного соглашения на ПО </w:t>
      </w:r>
      <w:proofErr w:type="spellStart"/>
      <w:r w:rsidRPr="001665BD">
        <w:t>Adobe</w:t>
      </w:r>
      <w:proofErr w:type="spellEnd"/>
      <w:r w:rsidRPr="001665BD">
        <w:t xml:space="preserve">. Разработчик: </w:t>
      </w:r>
      <w:proofErr w:type="spellStart"/>
      <w:r w:rsidRPr="001665BD">
        <w:t>Adobe</w:t>
      </w:r>
      <w:proofErr w:type="spellEnd"/>
      <w:r w:rsidRPr="001665BD">
        <w:t xml:space="preserve"> </w:t>
      </w:r>
      <w:proofErr w:type="spellStart"/>
      <w:r w:rsidRPr="001665BD">
        <w:t>Systems</w:t>
      </w:r>
      <w:proofErr w:type="spellEnd"/>
      <w:r w:rsidRPr="001665BD">
        <w:t xml:space="preserve">. Режим доступа: </w:t>
      </w:r>
      <w:hyperlink r:id="rId18" w:history="1">
        <w:r w:rsidRPr="001665BD">
          <w:rPr>
            <w:rStyle w:val="ac"/>
          </w:rPr>
          <w:t>https://get.adobe.com/ru/reader/</w:t>
        </w:r>
      </w:hyperlink>
      <w:r w:rsidRPr="001665BD">
        <w:t xml:space="preserve"> </w:t>
      </w:r>
    </w:p>
    <w:p w14:paraId="0666D35D" w14:textId="77777777" w:rsidR="00FB2A09" w:rsidRPr="001665BD" w:rsidRDefault="00FB2A09" w:rsidP="00FB2A09">
      <w:pPr>
        <w:keepNext/>
        <w:suppressAutoHyphens/>
        <w:ind w:firstLine="709"/>
        <w:jc w:val="both"/>
        <w:outlineLvl w:val="0"/>
      </w:pPr>
      <w:r w:rsidRPr="001665BD">
        <w:t xml:space="preserve">2. Свободный файловый архиватор 7-Zip. Предоставляется по лицензии GNU LGPL. Разработчик: Игорь Павлов. Режим доступа: </w:t>
      </w:r>
      <w:hyperlink r:id="rId19" w:history="1">
        <w:r w:rsidRPr="001665BD">
          <w:rPr>
            <w:rStyle w:val="ac"/>
          </w:rPr>
          <w:t>http://www.7-zip.org/</w:t>
        </w:r>
      </w:hyperlink>
      <w:r w:rsidRPr="001665BD">
        <w:t xml:space="preserve"> </w:t>
      </w:r>
    </w:p>
    <w:p w14:paraId="0666D35E" w14:textId="77777777" w:rsidR="00FB2A09" w:rsidRPr="001665BD" w:rsidRDefault="00FB2A09" w:rsidP="00FB2A09">
      <w:pPr>
        <w:keepNext/>
        <w:suppressAutoHyphens/>
        <w:ind w:firstLine="709"/>
        <w:jc w:val="both"/>
        <w:outlineLvl w:val="0"/>
      </w:pPr>
      <w:r w:rsidRPr="001665BD">
        <w:t xml:space="preserve">3. </w:t>
      </w:r>
      <w:proofErr w:type="spellStart"/>
      <w:r w:rsidRPr="001665BD">
        <w:t>Pro</w:t>
      </w:r>
      <w:proofErr w:type="spellEnd"/>
      <w:r w:rsidRPr="001665BD">
        <w:t xml:space="preserve"> </w:t>
      </w:r>
      <w:proofErr w:type="spellStart"/>
      <w:r w:rsidRPr="001665BD">
        <w:t>Quest</w:t>
      </w:r>
      <w:proofErr w:type="spellEnd"/>
      <w:r w:rsidRPr="001665BD">
        <w:t xml:space="preserve"> </w:t>
      </w:r>
      <w:proofErr w:type="spellStart"/>
      <w:r w:rsidRPr="001665BD">
        <w:t>Dissertations&amp;ThesesA&amp;I</w:t>
      </w:r>
      <w:proofErr w:type="spellEnd"/>
      <w:r w:rsidRPr="001665BD">
        <w:t xml:space="preserve"> [Электронный ресурс</w:t>
      </w:r>
      <w:proofErr w:type="gramStart"/>
      <w:r w:rsidRPr="001665BD">
        <w:t>] :</w:t>
      </w:r>
      <w:proofErr w:type="gramEnd"/>
      <w:r w:rsidRPr="001665BD">
        <w:t xml:space="preserve"> база данных диссертаций. – Режим </w:t>
      </w:r>
      <w:proofErr w:type="gramStart"/>
      <w:r w:rsidRPr="001665BD">
        <w:t>доступа :</w:t>
      </w:r>
      <w:proofErr w:type="gramEnd"/>
      <w:r w:rsidRPr="001665BD">
        <w:t xml:space="preserve"> </w:t>
      </w:r>
      <w:hyperlink r:id="rId20" w:history="1">
        <w:r w:rsidRPr="001665BD">
          <w:rPr>
            <w:rStyle w:val="ac"/>
          </w:rPr>
          <w:t>https://search.proquest.com/</w:t>
        </w:r>
      </w:hyperlink>
      <w:r w:rsidRPr="001665BD">
        <w:t xml:space="preserve"> в локальной сети ОГУ.</w:t>
      </w:r>
    </w:p>
    <w:p w14:paraId="0666D35F" w14:textId="77777777" w:rsidR="00FB2A09" w:rsidRPr="001665BD" w:rsidRDefault="00FB2A09" w:rsidP="00FB2A09">
      <w:pPr>
        <w:keepNext/>
        <w:suppressAutoHyphens/>
        <w:ind w:firstLine="709"/>
        <w:jc w:val="both"/>
        <w:outlineLvl w:val="0"/>
      </w:pPr>
      <w:r w:rsidRPr="001665BD">
        <w:t>4. SCOPUS [Электронный ресурс</w:t>
      </w:r>
      <w:proofErr w:type="gramStart"/>
      <w:r w:rsidRPr="001665BD">
        <w:t>] :</w:t>
      </w:r>
      <w:proofErr w:type="gramEnd"/>
      <w:r w:rsidRPr="001665BD">
        <w:t xml:space="preserve"> реферативная база данных / компания </w:t>
      </w:r>
      <w:proofErr w:type="spellStart"/>
      <w:r w:rsidRPr="001665BD">
        <w:t>Elsevier</w:t>
      </w:r>
      <w:proofErr w:type="spellEnd"/>
      <w:r w:rsidRPr="001665BD">
        <w:t xml:space="preserve">. – Режим доступа: </w:t>
      </w:r>
      <w:hyperlink r:id="rId21" w:history="1">
        <w:r w:rsidRPr="001665BD">
          <w:rPr>
            <w:rStyle w:val="ac"/>
          </w:rPr>
          <w:t>https://www.scopus.com/</w:t>
        </w:r>
      </w:hyperlink>
      <w:r w:rsidRPr="001665BD">
        <w:t xml:space="preserve"> в локальной сети ОГУ.</w:t>
      </w:r>
    </w:p>
    <w:p w14:paraId="0666D360" w14:textId="77777777" w:rsidR="00FB2A09" w:rsidRDefault="00FB2A09" w:rsidP="00FB2A09">
      <w:pPr>
        <w:keepNext/>
        <w:suppressAutoHyphens/>
        <w:ind w:firstLine="709"/>
        <w:jc w:val="both"/>
        <w:outlineLvl w:val="0"/>
      </w:pPr>
      <w:r w:rsidRPr="001665BD">
        <w:t xml:space="preserve">5. </w:t>
      </w:r>
      <w:proofErr w:type="spellStart"/>
      <w:r w:rsidRPr="001665BD">
        <w:t>Web</w:t>
      </w:r>
      <w:proofErr w:type="spellEnd"/>
      <w:r w:rsidRPr="001665BD">
        <w:t xml:space="preserve"> </w:t>
      </w:r>
      <w:proofErr w:type="spellStart"/>
      <w:r w:rsidRPr="001665BD">
        <w:t>of</w:t>
      </w:r>
      <w:proofErr w:type="spellEnd"/>
      <w:r w:rsidRPr="001665BD">
        <w:t xml:space="preserve"> </w:t>
      </w:r>
      <w:proofErr w:type="spellStart"/>
      <w:r w:rsidRPr="001665BD">
        <w:t>Science</w:t>
      </w:r>
      <w:proofErr w:type="spellEnd"/>
      <w:r w:rsidRPr="001665BD">
        <w:t xml:space="preserve"> [Электронный ресурс]: реферативная база данных / компания </w:t>
      </w:r>
      <w:proofErr w:type="spellStart"/>
      <w:r w:rsidRPr="001665BD">
        <w:t>Clarivate</w:t>
      </w:r>
      <w:proofErr w:type="spellEnd"/>
      <w:r w:rsidRPr="001665BD">
        <w:t xml:space="preserve"> </w:t>
      </w:r>
      <w:proofErr w:type="spellStart"/>
      <w:r w:rsidRPr="001665BD">
        <w:t>Analytics</w:t>
      </w:r>
      <w:proofErr w:type="spellEnd"/>
      <w:r w:rsidRPr="001665BD">
        <w:t xml:space="preserve">. – Режим </w:t>
      </w:r>
      <w:proofErr w:type="gramStart"/>
      <w:r w:rsidRPr="001665BD">
        <w:t>доступа :</w:t>
      </w:r>
      <w:proofErr w:type="gramEnd"/>
      <w:r w:rsidRPr="001665BD">
        <w:t xml:space="preserve"> </w:t>
      </w:r>
      <w:hyperlink r:id="rId22" w:history="1">
        <w:r w:rsidRPr="001665BD">
          <w:rPr>
            <w:rStyle w:val="ac"/>
          </w:rPr>
          <w:t>http://apps.webofknowledge.com/</w:t>
        </w:r>
      </w:hyperlink>
      <w:r w:rsidRPr="001665BD">
        <w:t xml:space="preserve">  в локальной сети ОГУ.</w:t>
      </w:r>
    </w:p>
    <w:p w14:paraId="0666D361" w14:textId="77777777" w:rsidR="00FB2A09" w:rsidRPr="001665BD" w:rsidRDefault="00FB2A09" w:rsidP="00FB2A09">
      <w:pPr>
        <w:keepNext/>
        <w:suppressAutoHyphens/>
        <w:ind w:firstLine="709"/>
        <w:jc w:val="both"/>
        <w:outlineLvl w:val="0"/>
      </w:pPr>
      <w:r>
        <w:t xml:space="preserve">6. </w:t>
      </w:r>
      <w:r w:rsidRPr="001665BD">
        <w:t xml:space="preserve">Антивирусное ПО </w:t>
      </w:r>
      <w:r w:rsidRPr="001665BD">
        <w:rPr>
          <w:lang w:val="en-US"/>
        </w:rPr>
        <w:t>Kaspersky</w:t>
      </w:r>
      <w:r w:rsidRPr="001665BD">
        <w:t xml:space="preserve"> </w:t>
      </w:r>
      <w:r w:rsidRPr="001665BD">
        <w:rPr>
          <w:lang w:val="en-US"/>
        </w:rPr>
        <w:t>Endpoint</w:t>
      </w:r>
      <w:r w:rsidRPr="001665BD">
        <w:t xml:space="preserve"> </w:t>
      </w:r>
      <w:r w:rsidRPr="001665BD">
        <w:rPr>
          <w:lang w:val="en-US"/>
        </w:rPr>
        <w:t>Security</w:t>
      </w:r>
      <w:r w:rsidRPr="001665BD">
        <w:t xml:space="preserve"> для бизнеса - Стандартный </w:t>
      </w:r>
      <w:r w:rsidRPr="001665BD">
        <w:rPr>
          <w:lang w:val="en-US"/>
        </w:rPr>
        <w:t>Russian</w:t>
      </w:r>
      <w:r w:rsidRPr="001665BD">
        <w:t xml:space="preserve"> </w:t>
      </w:r>
      <w:r w:rsidRPr="001665BD">
        <w:rPr>
          <w:lang w:val="en-US"/>
        </w:rPr>
        <w:t>Edition</w:t>
      </w:r>
      <w:r w:rsidRPr="001665BD">
        <w:t xml:space="preserve"> [2017–2019].</w:t>
      </w:r>
    </w:p>
    <w:bookmarkEnd w:id="8"/>
    <w:p w14:paraId="0666D362" w14:textId="77777777" w:rsidR="00DB651C" w:rsidRPr="005F62F1" w:rsidRDefault="00DB651C" w:rsidP="005F62F1">
      <w:pPr>
        <w:ind w:left="-567" w:right="113" w:firstLine="709"/>
        <w:rPr>
          <w:b/>
        </w:rPr>
      </w:pPr>
    </w:p>
    <w:p w14:paraId="0666D363" w14:textId="77777777" w:rsidR="009B4D49" w:rsidRPr="005F62F1" w:rsidRDefault="005F62F1" w:rsidP="005F62F1">
      <w:pPr>
        <w:ind w:left="-567" w:right="113" w:firstLine="709"/>
        <w:rPr>
          <w:b/>
        </w:rPr>
      </w:pPr>
      <w:r>
        <w:rPr>
          <w:b/>
        </w:rPr>
        <w:t>4</w:t>
      </w:r>
      <w:r w:rsidR="009B4D49" w:rsidRPr="005F62F1">
        <w:rPr>
          <w:b/>
        </w:rPr>
        <w:t xml:space="preserve"> Методические указания по самостоятельной работе</w:t>
      </w:r>
    </w:p>
    <w:p w14:paraId="0666D364" w14:textId="77777777" w:rsidR="00DB651C" w:rsidRPr="005F62F1" w:rsidRDefault="00DB651C" w:rsidP="005F62F1">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w:t>
      </w:r>
      <w:r w:rsidRPr="005F62F1">
        <w:lastRenderedPageBreak/>
        <w:t xml:space="preserve">студентов, которая выполняется по заданию и при методическом руководстве преподавателя, но без его непосредственного участия. </w:t>
      </w:r>
    </w:p>
    <w:p w14:paraId="0666D365" w14:textId="77777777" w:rsidR="00DB651C" w:rsidRPr="005F62F1" w:rsidRDefault="00DB651C" w:rsidP="005F62F1">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0666D366" w14:textId="77777777" w:rsidR="00DB651C" w:rsidRPr="005F62F1" w:rsidRDefault="00DB651C" w:rsidP="005F62F1">
      <w:pPr>
        <w:tabs>
          <w:tab w:val="left" w:pos="9600"/>
        </w:tabs>
        <w:ind w:left="-567" w:right="113" w:firstLine="709"/>
        <w:jc w:val="both"/>
      </w:pPr>
      <w:r w:rsidRPr="005F62F1">
        <w:t>- углублению и расширению знаний;</w:t>
      </w:r>
    </w:p>
    <w:p w14:paraId="0666D367" w14:textId="77777777" w:rsidR="00DB651C" w:rsidRPr="005F62F1" w:rsidRDefault="00DB651C" w:rsidP="005F62F1">
      <w:pPr>
        <w:tabs>
          <w:tab w:val="left" w:pos="9600"/>
        </w:tabs>
        <w:ind w:left="-567" w:right="113" w:firstLine="709"/>
        <w:jc w:val="both"/>
      </w:pPr>
      <w:r w:rsidRPr="005F62F1">
        <w:t>- формированию интереса к познавательной деятельности;</w:t>
      </w:r>
    </w:p>
    <w:p w14:paraId="0666D368" w14:textId="77777777" w:rsidR="00DB651C" w:rsidRPr="005F62F1" w:rsidRDefault="00DB651C" w:rsidP="005F62F1">
      <w:pPr>
        <w:tabs>
          <w:tab w:val="left" w:pos="9600"/>
        </w:tabs>
        <w:ind w:left="-567" w:right="113" w:firstLine="709"/>
        <w:jc w:val="both"/>
      </w:pPr>
      <w:r w:rsidRPr="005F62F1">
        <w:t>- овладению приемами процесса познания;</w:t>
      </w:r>
    </w:p>
    <w:p w14:paraId="0666D369" w14:textId="77777777" w:rsidR="00DB651C" w:rsidRPr="005F62F1" w:rsidRDefault="00DB651C" w:rsidP="005F62F1">
      <w:pPr>
        <w:tabs>
          <w:tab w:val="left" w:pos="9600"/>
        </w:tabs>
        <w:ind w:left="-567" w:right="113" w:firstLine="709"/>
        <w:jc w:val="both"/>
      </w:pPr>
      <w:r w:rsidRPr="005F62F1">
        <w:t>- развитию познавательных способностей;</w:t>
      </w:r>
    </w:p>
    <w:p w14:paraId="0666D36A" w14:textId="77777777" w:rsidR="00DB651C" w:rsidRPr="005F62F1" w:rsidRDefault="00DB651C" w:rsidP="005F62F1">
      <w:pPr>
        <w:tabs>
          <w:tab w:val="left" w:pos="9600"/>
        </w:tabs>
        <w:ind w:left="-567" w:right="113" w:firstLine="709"/>
        <w:jc w:val="both"/>
      </w:pPr>
      <w:r w:rsidRPr="005F62F1">
        <w:t xml:space="preserve">- формированию навыков работы. </w:t>
      </w:r>
    </w:p>
    <w:p w14:paraId="0666D36B" w14:textId="77777777" w:rsidR="00DB651C" w:rsidRPr="005F62F1" w:rsidRDefault="00DB651C" w:rsidP="005F62F1">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0666D36C"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w:t>
      </w:r>
      <w:r w:rsidR="00E37D39" w:rsidRPr="005F62F1">
        <w:t>ой</w:t>
      </w:r>
      <w:r w:rsidRPr="005F62F1">
        <w:t xml:space="preserve"> вид работ, как конспектирование.</w:t>
      </w:r>
    </w:p>
    <w:p w14:paraId="0666D36D"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0666D36E"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0666D36F"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0666D370" w14:textId="77777777" w:rsidR="00DB651C" w:rsidRPr="005F62F1" w:rsidRDefault="00DB651C" w:rsidP="005F62F1">
      <w:pPr>
        <w:numPr>
          <w:ilvl w:val="0"/>
          <w:numId w:val="7"/>
        </w:numPr>
        <w:ind w:left="-567" w:right="113" w:firstLine="709"/>
        <w:jc w:val="both"/>
      </w:pPr>
      <w:r w:rsidRPr="005F62F1">
        <w:t>подобрать факты для составления схемы и выделить среди них основные;</w:t>
      </w:r>
    </w:p>
    <w:p w14:paraId="0666D371" w14:textId="77777777" w:rsidR="00DB651C" w:rsidRPr="005F62F1" w:rsidRDefault="00DB651C" w:rsidP="005F62F1">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0666D372" w14:textId="77777777" w:rsidR="00DB651C" w:rsidRPr="005F62F1" w:rsidRDefault="00DB651C" w:rsidP="005F62F1">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0666D373" w14:textId="77777777" w:rsidR="00DB651C" w:rsidRPr="005F62F1" w:rsidRDefault="00DB651C" w:rsidP="005F62F1">
      <w:pPr>
        <w:numPr>
          <w:ilvl w:val="0"/>
          <w:numId w:val="7"/>
        </w:numPr>
        <w:ind w:left="-567" w:right="113" w:firstLine="709"/>
      </w:pPr>
      <w:r w:rsidRPr="005F62F1">
        <w:t>заполнить схему данными.</w:t>
      </w:r>
    </w:p>
    <w:p w14:paraId="0666D374" w14:textId="77777777" w:rsidR="00E37D39" w:rsidRPr="00507DD0" w:rsidRDefault="00E37D39" w:rsidP="00507DD0">
      <w:pPr>
        <w:ind w:right="113"/>
      </w:pPr>
    </w:p>
    <w:p w14:paraId="0666D375" w14:textId="77777777" w:rsidR="009B4D49" w:rsidRPr="005F62F1" w:rsidRDefault="005F62F1" w:rsidP="005F62F1">
      <w:pPr>
        <w:ind w:left="-567" w:right="113" w:firstLine="709"/>
        <w:rPr>
          <w:b/>
        </w:rPr>
      </w:pPr>
      <w:r>
        <w:rPr>
          <w:b/>
        </w:rPr>
        <w:t>4</w:t>
      </w:r>
      <w:r w:rsidR="009B4D49" w:rsidRPr="005F62F1">
        <w:rPr>
          <w:b/>
        </w:rPr>
        <w:t>.</w:t>
      </w:r>
      <w:r w:rsidR="00507DD0">
        <w:rPr>
          <w:b/>
        </w:rPr>
        <w:t xml:space="preserve">1 </w:t>
      </w:r>
      <w:r w:rsidR="009B4D49" w:rsidRPr="005F62F1">
        <w:rPr>
          <w:b/>
        </w:rPr>
        <w:t>Методические указания по решению тестовых заданий</w:t>
      </w:r>
    </w:p>
    <w:p w14:paraId="0666D376" w14:textId="77777777" w:rsidR="00507DD0" w:rsidRPr="00B664EF" w:rsidRDefault="00E37D39" w:rsidP="00507DD0">
      <w:pPr>
        <w:ind w:left="-567" w:right="-1" w:firstLine="567"/>
        <w:jc w:val="both"/>
      </w:pPr>
      <w:r w:rsidRPr="005F62F1">
        <w:t xml:space="preserve">Тестовые задания по дисциплине «Философия» </w:t>
      </w:r>
      <w:r w:rsidR="00507DD0" w:rsidRPr="00B664EF">
        <w:t>разработанный и утвержденный в соответствии с Положением о Фонде тестовых задани</w:t>
      </w:r>
      <w:r w:rsidR="00507DD0">
        <w:t xml:space="preserve">й, регистрационный номер 132 от </w:t>
      </w:r>
      <w:r w:rsidR="00507DD0" w:rsidRPr="00B664EF">
        <w:t>30.01.2008 г.</w:t>
      </w:r>
    </w:p>
    <w:p w14:paraId="0666D377" w14:textId="77777777" w:rsidR="00293DCD" w:rsidRPr="005F62F1" w:rsidRDefault="00293DCD" w:rsidP="005F62F1">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66D378" w14:textId="77777777" w:rsidR="00E37D39" w:rsidRPr="005F62F1" w:rsidRDefault="00E37D39" w:rsidP="005F62F1">
      <w:pPr>
        <w:ind w:left="-567" w:right="113" w:firstLine="709"/>
        <w:jc w:val="both"/>
      </w:pPr>
      <w:r w:rsidRPr="005F62F1">
        <w:t xml:space="preserve">Для более успешного выполнения </w:t>
      </w:r>
      <w:r w:rsidRPr="005F62F1">
        <w:rPr>
          <w:bCs/>
        </w:rPr>
        <w:t xml:space="preserve">тестовых заданий </w:t>
      </w:r>
      <w:r w:rsidR="00293DCD" w:rsidRPr="005F62F1">
        <w:rPr>
          <w:bCs/>
        </w:rPr>
        <w:t xml:space="preserve">преподавателю </w:t>
      </w:r>
      <w:r w:rsidRPr="005F62F1">
        <w:t>необходимо чётко пояснить каждое задание, обратить внимание обучающихся на особенности их выполнения.</w:t>
      </w:r>
      <w:r w:rsidR="00293DCD" w:rsidRPr="005F62F1">
        <w:t xml:space="preserve"> Правильный ответ,</w:t>
      </w:r>
      <w:r w:rsidRPr="005F62F1">
        <w:t xml:space="preserve"> обучающийся должен отметить каким-либо значком или записать, если предусмотрен бланк ответов.</w:t>
      </w:r>
      <w:r w:rsidR="00293DCD" w:rsidRPr="005F62F1">
        <w:t xml:space="preserve"> </w:t>
      </w:r>
      <w:r w:rsidRPr="005F62F1">
        <w:t>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0666D379" w14:textId="77777777" w:rsidR="00293DCD" w:rsidRPr="005F62F1" w:rsidRDefault="00293DCD" w:rsidP="005F62F1">
      <w:pPr>
        <w:ind w:left="-567" w:right="113" w:firstLine="709"/>
        <w:jc w:val="both"/>
        <w:rPr>
          <w:bCs/>
        </w:rPr>
      </w:pPr>
      <w:r w:rsidRPr="005F62F1">
        <w:t xml:space="preserve">Обучающийся, при выполнении тестовых заданий должен: </w:t>
      </w:r>
    </w:p>
    <w:p w14:paraId="0666D37A" w14:textId="77777777" w:rsidR="00E37D39" w:rsidRPr="005F62F1" w:rsidRDefault="00E37D39" w:rsidP="005F62F1">
      <w:pPr>
        <w:pStyle w:val="a9"/>
        <w:numPr>
          <w:ilvl w:val="0"/>
          <w:numId w:val="10"/>
        </w:numPr>
        <w:ind w:left="-567" w:right="113" w:firstLine="709"/>
        <w:jc w:val="both"/>
      </w:pPr>
      <w:r w:rsidRPr="005F62F1">
        <w:t>Внимательно чита</w:t>
      </w:r>
      <w:r w:rsidR="00293DCD" w:rsidRPr="005F62F1">
        <w:t>ть</w:t>
      </w:r>
      <w:r w:rsidRPr="005F62F1">
        <w:t xml:space="preserve"> все задания работы и указания по их выполнению.</w:t>
      </w:r>
    </w:p>
    <w:p w14:paraId="0666D37B" w14:textId="77777777" w:rsidR="00E37D39" w:rsidRPr="005F62F1" w:rsidRDefault="00E37D39" w:rsidP="005F62F1">
      <w:pPr>
        <w:pStyle w:val="a9"/>
        <w:numPr>
          <w:ilvl w:val="0"/>
          <w:numId w:val="10"/>
        </w:numPr>
        <w:ind w:left="-567" w:right="113" w:firstLine="709"/>
        <w:jc w:val="both"/>
      </w:pPr>
      <w:r w:rsidRPr="005F62F1">
        <w:t>Если не может выполнить очередное задание, не трат</w:t>
      </w:r>
      <w:r w:rsidR="00293DCD" w:rsidRPr="005F62F1">
        <w:t>ить</w:t>
      </w:r>
      <w:r w:rsidRPr="005F62F1">
        <w:t xml:space="preserve"> время, переходит</w:t>
      </w:r>
      <w:r w:rsidR="00293DCD" w:rsidRPr="005F62F1">
        <w:t>ь</w:t>
      </w:r>
      <w:r w:rsidRPr="005F62F1">
        <w:t xml:space="preserve"> к следующему.</w:t>
      </w:r>
    </w:p>
    <w:p w14:paraId="0666D37C" w14:textId="77777777" w:rsidR="00E37D39" w:rsidRPr="005F62F1" w:rsidRDefault="00E37D39" w:rsidP="005F62F1">
      <w:pPr>
        <w:pStyle w:val="a9"/>
        <w:numPr>
          <w:ilvl w:val="0"/>
          <w:numId w:val="10"/>
        </w:numPr>
        <w:ind w:left="-567" w:right="113" w:firstLine="709"/>
        <w:jc w:val="both"/>
      </w:pPr>
      <w:r w:rsidRPr="005F62F1">
        <w:t>Только выполнив все задания, верн</w:t>
      </w:r>
      <w:r w:rsidR="00293DCD" w:rsidRPr="005F62F1">
        <w:t>уться</w:t>
      </w:r>
      <w:r w:rsidRPr="005F62F1">
        <w:t xml:space="preserve"> к тем, которые у </w:t>
      </w:r>
      <w:r w:rsidR="00293DCD" w:rsidRPr="005F62F1">
        <w:t>него</w:t>
      </w:r>
      <w:r w:rsidRPr="005F62F1">
        <w:t xml:space="preserve"> не получились сразу.</w:t>
      </w:r>
    </w:p>
    <w:p w14:paraId="0666D37D" w14:textId="77777777" w:rsidR="00E37D39" w:rsidRPr="005F62F1" w:rsidRDefault="00293DCD" w:rsidP="005F62F1">
      <w:pPr>
        <w:pStyle w:val="a9"/>
        <w:numPr>
          <w:ilvl w:val="0"/>
          <w:numId w:val="10"/>
        </w:numPr>
        <w:ind w:left="-567" w:right="113" w:firstLine="709"/>
        <w:jc w:val="both"/>
      </w:pPr>
      <w:r w:rsidRPr="005F62F1">
        <w:t>Стараться</w:t>
      </w:r>
      <w:r w:rsidR="00E37D39" w:rsidRPr="005F62F1">
        <w:t xml:space="preserve"> работать быстро и аккуратно.</w:t>
      </w:r>
    </w:p>
    <w:p w14:paraId="0666D37E" w14:textId="77777777" w:rsidR="00E37D39" w:rsidRPr="005F62F1" w:rsidRDefault="00E37D39" w:rsidP="005F62F1">
      <w:pPr>
        <w:pStyle w:val="a9"/>
        <w:numPr>
          <w:ilvl w:val="0"/>
          <w:numId w:val="10"/>
        </w:numPr>
        <w:ind w:left="-567" w:right="113" w:firstLine="709"/>
        <w:jc w:val="both"/>
      </w:pPr>
      <w:r w:rsidRPr="005F62F1">
        <w:t>Если ошибся, то зачеркн</w:t>
      </w:r>
      <w:r w:rsidR="00293DCD" w:rsidRPr="005F62F1">
        <w:t>уть</w:t>
      </w:r>
      <w:r w:rsidRPr="005F62F1">
        <w:t xml:space="preserve"> ошибку и выб</w:t>
      </w:r>
      <w:r w:rsidR="00293DCD" w:rsidRPr="005F62F1">
        <w:t>рать</w:t>
      </w:r>
      <w:r w:rsidRPr="005F62F1">
        <w:t xml:space="preserve"> другой ответ.</w:t>
      </w:r>
    </w:p>
    <w:p w14:paraId="0666D37F" w14:textId="77777777" w:rsidR="00E37D39" w:rsidRPr="005F62F1" w:rsidRDefault="00E37D39" w:rsidP="005F62F1">
      <w:pPr>
        <w:pStyle w:val="a9"/>
        <w:numPr>
          <w:ilvl w:val="0"/>
          <w:numId w:val="10"/>
        </w:numPr>
        <w:ind w:left="-567" w:right="113" w:firstLine="709"/>
        <w:jc w:val="both"/>
      </w:pPr>
      <w:r w:rsidRPr="005F62F1">
        <w:t>Когда выполни</w:t>
      </w:r>
      <w:r w:rsidR="00293DCD" w:rsidRPr="005F62F1">
        <w:t xml:space="preserve">т </w:t>
      </w:r>
      <w:r w:rsidRPr="005F62F1">
        <w:t>все задания работы, провер</w:t>
      </w:r>
      <w:r w:rsidR="00293DCD" w:rsidRPr="005F62F1">
        <w:t>ить</w:t>
      </w:r>
      <w:r w:rsidRPr="005F62F1">
        <w:t>.</w:t>
      </w:r>
    </w:p>
    <w:p w14:paraId="0666D380" w14:textId="77777777" w:rsidR="00E37D39" w:rsidRPr="005F62F1" w:rsidRDefault="00E37D39" w:rsidP="005F62F1">
      <w:pPr>
        <w:ind w:left="-567" w:right="113" w:firstLine="709"/>
        <w:jc w:val="both"/>
      </w:pPr>
      <w:r w:rsidRPr="005F62F1">
        <w:rPr>
          <w:bCs/>
        </w:rPr>
        <w:lastRenderedPageBreak/>
        <w:t>К</w:t>
      </w:r>
      <w:r w:rsidR="00293DCD" w:rsidRPr="005F62F1">
        <w:rPr>
          <w:bCs/>
        </w:rPr>
        <w:t>ритерий оценивания тестовых заданий:</w:t>
      </w:r>
    </w:p>
    <w:p w14:paraId="0666D381" w14:textId="77777777" w:rsidR="00E37D39" w:rsidRPr="005F62F1" w:rsidRDefault="00E37D39" w:rsidP="005F62F1">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0666D382"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0666D383"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0666D384" w14:textId="77777777" w:rsidR="00E37D39" w:rsidRPr="005F62F1" w:rsidRDefault="00E37D39" w:rsidP="005F62F1">
      <w:pPr>
        <w:ind w:left="-567" w:right="113" w:firstLine="709"/>
        <w:rPr>
          <w:b/>
        </w:rPr>
      </w:pPr>
    </w:p>
    <w:p w14:paraId="0666D385" w14:textId="77777777" w:rsidR="009B4D49" w:rsidRPr="005F62F1" w:rsidRDefault="005F62F1" w:rsidP="005F62F1">
      <w:pPr>
        <w:ind w:left="-567" w:right="113" w:firstLine="709"/>
        <w:rPr>
          <w:b/>
        </w:rPr>
      </w:pPr>
      <w:r>
        <w:rPr>
          <w:b/>
        </w:rPr>
        <w:t>4</w:t>
      </w:r>
      <w:r w:rsidR="009B4D49" w:rsidRPr="005F62F1">
        <w:rPr>
          <w:b/>
        </w:rPr>
        <w:t>.</w:t>
      </w:r>
      <w:r w:rsidR="00507DD0">
        <w:rPr>
          <w:b/>
        </w:rPr>
        <w:t>2</w:t>
      </w:r>
      <w:r w:rsidR="009B4D49" w:rsidRPr="005F62F1">
        <w:rPr>
          <w:b/>
        </w:rPr>
        <w:t xml:space="preserve"> Методические указания по решение логических заданий</w:t>
      </w:r>
    </w:p>
    <w:p w14:paraId="0666D386" w14:textId="77777777" w:rsidR="00F551FB" w:rsidRPr="005F62F1" w:rsidRDefault="0064387E" w:rsidP="005F62F1">
      <w:pPr>
        <w:ind w:left="-567" w:right="113" w:firstLine="709"/>
        <w:jc w:val="both"/>
      </w:pPr>
      <w:r w:rsidRPr="005F62F1">
        <w:t xml:space="preserve">В методическом плане при изучении философии и проведении практических занятий предполагается использование различных видов и форм </w:t>
      </w:r>
      <w:r w:rsidR="00606E98" w:rsidRPr="005F62F1">
        <w:t>занятий</w:t>
      </w:r>
      <w:r w:rsidRPr="005F62F1">
        <w:t>, разнообразных путей организации познавательной деятельности обучающихся, привлечение широкого круга источников знаний и информации. Познавательные</w:t>
      </w:r>
      <w:r w:rsidR="00606E98" w:rsidRPr="005F62F1">
        <w:t>, логические</w:t>
      </w:r>
      <w:r w:rsidRPr="005F62F1">
        <w:t xml:space="preserve">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w:t>
      </w:r>
      <w:r w:rsidR="00606E98" w:rsidRPr="005F62F1">
        <w:t>ктивизацию рефлексии, на ана</w:t>
      </w:r>
      <w:r w:rsidRPr="005F62F1">
        <w:t>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0666D387" w14:textId="77777777" w:rsidR="0064387E" w:rsidRDefault="0064387E" w:rsidP="005F62F1">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w:t>
      </w:r>
      <w:r w:rsidR="00606E98" w:rsidRPr="005F62F1">
        <w:t>из философских</w:t>
      </w:r>
      <w:r w:rsidRPr="005F62F1">
        <w:t xml:space="preserve">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w:t>
      </w:r>
      <w:r w:rsidR="00606E98" w:rsidRPr="005F62F1">
        <w:t>Ф</w:t>
      </w:r>
      <w:r w:rsidRPr="005F62F1">
        <w:t>илософи</w:t>
      </w:r>
      <w:r w:rsidR="00606E98" w:rsidRPr="005F62F1">
        <w:t>я права</w:t>
      </w:r>
      <w:r w:rsidRPr="005F62F1">
        <w:t>», создать собственное индивидуальное мировоззрение и лучше ориентироваться в современном мире.</w:t>
      </w:r>
    </w:p>
    <w:p w14:paraId="0666D388" w14:textId="77777777" w:rsidR="005F62F1" w:rsidRPr="005F62F1" w:rsidRDefault="005F62F1" w:rsidP="005F62F1">
      <w:pPr>
        <w:ind w:left="-567" w:right="113" w:firstLine="709"/>
        <w:jc w:val="both"/>
      </w:pPr>
    </w:p>
    <w:p w14:paraId="0666D389" w14:textId="77777777" w:rsidR="009B4D49" w:rsidRPr="005F62F1" w:rsidRDefault="005F62F1" w:rsidP="005F62F1">
      <w:pPr>
        <w:ind w:left="-567" w:right="113" w:firstLine="709"/>
        <w:rPr>
          <w:b/>
        </w:rPr>
      </w:pPr>
      <w:r>
        <w:rPr>
          <w:b/>
        </w:rPr>
        <w:t xml:space="preserve"> 4</w:t>
      </w:r>
      <w:r w:rsidR="009B4D49" w:rsidRPr="005F62F1">
        <w:rPr>
          <w:b/>
        </w:rPr>
        <w:t>.</w:t>
      </w:r>
      <w:r w:rsidR="00507DD0">
        <w:rPr>
          <w:b/>
        </w:rPr>
        <w:t>3</w:t>
      </w:r>
      <w:r w:rsidR="009B4D49" w:rsidRPr="005F62F1">
        <w:rPr>
          <w:b/>
        </w:rPr>
        <w:t xml:space="preserve"> Методические указания по подготовке к коллоквиумам</w:t>
      </w:r>
    </w:p>
    <w:p w14:paraId="0666D38A" w14:textId="77777777" w:rsidR="00606E98" w:rsidRPr="005F62F1" w:rsidRDefault="00606E98" w:rsidP="005F62F1">
      <w:pPr>
        <w:ind w:left="-567" w:right="113" w:firstLine="709"/>
        <w:jc w:val="both"/>
      </w:pPr>
      <w:r w:rsidRPr="005F62F1">
        <w:t>Коллоквиумом называется собеседование преподавателя и студента по заранее определенным контрольным вопросам. 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0666D38B" w14:textId="77777777" w:rsidR="00606E98" w:rsidRPr="005F62F1" w:rsidRDefault="00606E98" w:rsidP="005F62F1">
      <w:pPr>
        <w:ind w:left="-567" w:right="113" w:firstLine="709"/>
        <w:jc w:val="both"/>
      </w:pPr>
      <w:r w:rsidRPr="005F62F1">
        <w:lastRenderedPageBreak/>
        <w:t>- владение изученным в ходе учебного процесса материалом, относящимся к рассматриваемой проблеме;</w:t>
      </w:r>
    </w:p>
    <w:p w14:paraId="0666D38C" w14:textId="77777777" w:rsidR="00606E98" w:rsidRPr="005F62F1" w:rsidRDefault="00606E98" w:rsidP="005F62F1">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0666D38D" w14:textId="77777777" w:rsidR="00606E98" w:rsidRPr="005F62F1" w:rsidRDefault="00606E98" w:rsidP="005F62F1">
      <w:pPr>
        <w:ind w:left="-567" w:right="113" w:firstLine="709"/>
        <w:jc w:val="both"/>
      </w:pPr>
      <w:r w:rsidRPr="005F62F1">
        <w:t>- наличие собственного мнения по обсуждаемым вопросам и умение его аргументировать.</w:t>
      </w:r>
    </w:p>
    <w:p w14:paraId="0666D38E" w14:textId="77777777" w:rsidR="00606E98" w:rsidRPr="005F62F1" w:rsidRDefault="00606E98" w:rsidP="005F62F1">
      <w:pPr>
        <w:ind w:left="-567" w:right="113" w:firstLine="709"/>
        <w:jc w:val="both"/>
      </w:pPr>
      <w:r w:rsidRPr="005F62F1">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0666D38F" w14:textId="77777777" w:rsidR="00606E98" w:rsidRPr="005F62F1" w:rsidRDefault="00606E98" w:rsidP="005F62F1">
      <w:pPr>
        <w:ind w:left="-567" w:right="113" w:firstLine="709"/>
        <w:jc w:val="both"/>
        <w:rPr>
          <w:b/>
        </w:rPr>
      </w:pPr>
      <w:r w:rsidRPr="005F62F1">
        <w:rPr>
          <w:b/>
          <w:i/>
          <w:iCs/>
        </w:rPr>
        <w:t>Подготовка к коллоквиуму.</w:t>
      </w:r>
    </w:p>
    <w:p w14:paraId="0666D390" w14:textId="77777777" w:rsidR="00606E98" w:rsidRPr="005F62F1" w:rsidRDefault="00606E98" w:rsidP="005F62F1">
      <w:pPr>
        <w:ind w:left="-567" w:right="113" w:firstLine="709"/>
        <w:jc w:val="both"/>
      </w:pPr>
      <w:r w:rsidRPr="005F62F1">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0666D391" w14:textId="77777777" w:rsidR="00606E98" w:rsidRPr="005F62F1" w:rsidRDefault="00606E98" w:rsidP="005F62F1">
      <w:pPr>
        <w:ind w:left="-567" w:right="113" w:firstLine="709"/>
        <w:jc w:val="both"/>
      </w:pPr>
      <w:r w:rsidRPr="005F62F1">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0666D392" w14:textId="77777777" w:rsidR="00606E98" w:rsidRPr="005F62F1" w:rsidRDefault="00606E98" w:rsidP="005F62F1">
      <w:pPr>
        <w:ind w:left="-567" w:right="113" w:firstLine="709"/>
      </w:pPr>
    </w:p>
    <w:p w14:paraId="0666D393" w14:textId="77777777" w:rsidR="00606E98" w:rsidRPr="005F62F1" w:rsidRDefault="005F62F1" w:rsidP="005F62F1">
      <w:pPr>
        <w:ind w:left="-567" w:right="113" w:firstLine="709"/>
        <w:rPr>
          <w:b/>
        </w:rPr>
      </w:pPr>
      <w:r>
        <w:rPr>
          <w:b/>
        </w:rPr>
        <w:t>5</w:t>
      </w:r>
      <w:r w:rsidR="009B4D49" w:rsidRPr="005F62F1">
        <w:rPr>
          <w:b/>
        </w:rPr>
        <w:t xml:space="preserve"> Методические указания по промежуточной аттестации по дисциплине</w:t>
      </w:r>
    </w:p>
    <w:p w14:paraId="0666D394" w14:textId="77777777" w:rsidR="00C3413B" w:rsidRPr="00C3413B" w:rsidRDefault="00C3413B" w:rsidP="00C3413B">
      <w:pPr>
        <w:ind w:left="-567" w:firstLine="709"/>
        <w:rPr>
          <w:bCs/>
        </w:rPr>
      </w:pPr>
      <w:r>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0666D395" w14:textId="77777777" w:rsidR="00606E98" w:rsidRPr="005F62F1" w:rsidRDefault="00C3413B" w:rsidP="005F62F1">
      <w:pPr>
        <w:ind w:left="-567" w:right="113" w:firstLine="709"/>
        <w:jc w:val="both"/>
      </w:pPr>
      <w:r>
        <w:t>1.</w:t>
      </w:r>
      <w:r w:rsidR="00606E98" w:rsidRPr="005F62F1">
        <w:t xml:space="preserve">Подготовка к </w:t>
      </w:r>
      <w:r>
        <w:t>экзамену</w:t>
      </w:r>
      <w:r w:rsidR="00606E98" w:rsidRPr="005F62F1">
        <w:t xml:space="preserve"> осуществляется на основании методических рекомендаций по дисциплине</w:t>
      </w:r>
      <w:r w:rsidR="00F551FB" w:rsidRPr="005F62F1">
        <w:t xml:space="preserve"> «Философия</w:t>
      </w:r>
      <w:r w:rsidR="00606E98" w:rsidRPr="005F62F1">
        <w:t>» и списка вопросов изучаемой дисциплины, конспектов лекций, учебников и учебных пособий, научных статей, информации среды интернет.</w:t>
      </w:r>
    </w:p>
    <w:p w14:paraId="0666D396" w14:textId="77777777" w:rsidR="00C3413B" w:rsidRPr="00C3413B" w:rsidRDefault="00C3413B" w:rsidP="00C3413B">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0666D397" w14:textId="77777777" w:rsidR="00606E98" w:rsidRPr="005F62F1" w:rsidRDefault="00C3413B" w:rsidP="005F62F1">
      <w:pPr>
        <w:ind w:left="-567" w:right="113" w:firstLine="709"/>
        <w:jc w:val="both"/>
      </w:pPr>
      <w:r>
        <w:t xml:space="preserve">3. </w:t>
      </w:r>
      <w:r w:rsidR="00606E98" w:rsidRPr="005F62F1">
        <w:t xml:space="preserve">Литература для подготовки к </w:t>
      </w:r>
      <w:r w:rsidRPr="00C3413B">
        <w:t>экзамену</w:t>
      </w:r>
      <w:r w:rsidR="00606E98"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666D398" w14:textId="77777777" w:rsidR="00606E98" w:rsidRPr="005F62F1" w:rsidRDefault="00C3413B" w:rsidP="005F62F1">
      <w:pPr>
        <w:ind w:left="-567" w:right="113" w:firstLine="709"/>
        <w:jc w:val="both"/>
      </w:pPr>
      <w:r>
        <w:t xml:space="preserve">4. </w:t>
      </w:r>
      <w:r w:rsidR="00606E98" w:rsidRPr="005F62F1">
        <w:t xml:space="preserve">Основным источником подготовки к </w:t>
      </w:r>
      <w:r w:rsidRPr="00C3413B">
        <w:t>экзамену</w:t>
      </w:r>
      <w:r w:rsidR="00606E98"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00606E98" w:rsidRPr="005F62F1">
        <w:t xml:space="preserve"> студентам необходимо обращать внимание не только на уровень запоминания, но и на степень понимания излагаемых проблем.</w:t>
      </w:r>
    </w:p>
    <w:p w14:paraId="0666D399" w14:textId="77777777" w:rsidR="00C3413B" w:rsidRPr="00C3413B" w:rsidRDefault="00C3413B" w:rsidP="00C3413B">
      <w:pPr>
        <w:ind w:left="-567" w:firstLine="709"/>
        <w:rPr>
          <w:bCs/>
          <w:lang w:bidi="ru-RU"/>
        </w:rPr>
      </w:pPr>
      <w:r>
        <w:rPr>
          <w:bCs/>
          <w:lang w:bidi="ru-RU"/>
        </w:rPr>
        <w:lastRenderedPageBreak/>
        <w:t xml:space="preserve">5. </w:t>
      </w:r>
      <w:r w:rsidRPr="00C3413B">
        <w:rPr>
          <w:bCs/>
          <w:lang w:bidi="ru-RU"/>
        </w:rPr>
        <w:t>Список готовых билетов студенту не предоставляется.</w:t>
      </w:r>
    </w:p>
    <w:p w14:paraId="0666D39A" w14:textId="77777777" w:rsidR="00C3413B" w:rsidRPr="00C3413B" w:rsidRDefault="00C3413B" w:rsidP="00C3413B">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666D39B" w14:textId="77777777" w:rsidR="00C3413B" w:rsidRPr="00C3413B" w:rsidRDefault="00C3413B" w:rsidP="00C3413B">
      <w:pPr>
        <w:ind w:left="-567" w:firstLine="709"/>
        <w:rPr>
          <w:b/>
          <w:lang w:bidi="ru-RU"/>
        </w:rPr>
      </w:pPr>
      <w:r w:rsidRPr="00C3413B">
        <w:rPr>
          <w:b/>
          <w:lang w:bidi="ru-RU"/>
        </w:rPr>
        <w:t>Критерии оценивания:</w:t>
      </w:r>
    </w:p>
    <w:p w14:paraId="0666D39C" w14:textId="77777777" w:rsidR="00C3413B" w:rsidRPr="00C3413B" w:rsidRDefault="00C3413B" w:rsidP="00C3413B">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0666D39D" w14:textId="77777777" w:rsidR="00C3413B" w:rsidRPr="00C3413B" w:rsidRDefault="00C3413B" w:rsidP="00C3413B">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0666D39E" w14:textId="77777777" w:rsidR="00C3413B" w:rsidRPr="00C3413B" w:rsidRDefault="00C3413B" w:rsidP="00C3413B">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0666D39F" w14:textId="77777777" w:rsidR="00C3413B" w:rsidRPr="00C3413B" w:rsidRDefault="00C3413B" w:rsidP="00C3413B">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0666D3A0" w14:textId="77777777" w:rsidR="00606E98" w:rsidRPr="005F62F1" w:rsidRDefault="00606E98" w:rsidP="005F62F1">
      <w:pPr>
        <w:ind w:left="-567" w:firstLine="709"/>
        <w:rPr>
          <w:b/>
        </w:rPr>
      </w:pPr>
    </w:p>
    <w:p w14:paraId="0666D3A1" w14:textId="77777777" w:rsidR="00606E98" w:rsidRDefault="00D00968" w:rsidP="005F62F1">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0666D3A2" w14:textId="77777777" w:rsidR="00D00968" w:rsidRPr="00D00968" w:rsidRDefault="00D00968" w:rsidP="00D00968">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sidR="00EE6DE8">
        <w:rPr>
          <w:bCs/>
        </w:rPr>
        <w:t xml:space="preserve"> </w:t>
      </w:r>
      <w:r w:rsidRPr="00D00968">
        <w:rPr>
          <w:bCs/>
        </w:rPr>
        <w:t>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0666D3A3" w14:textId="77777777" w:rsidR="00D00968" w:rsidRPr="00D00968" w:rsidRDefault="00D00968" w:rsidP="00D00968">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0666D3A4" w14:textId="77777777" w:rsidR="00D00968" w:rsidRPr="00D00968" w:rsidRDefault="00D00968" w:rsidP="00D00968">
      <w:pPr>
        <w:ind w:left="-567" w:firstLine="709"/>
        <w:jc w:val="both"/>
        <w:rPr>
          <w:bCs/>
        </w:rPr>
      </w:pPr>
      <w:r w:rsidRPr="00D00968">
        <w:rPr>
          <w:bCs/>
        </w:rPr>
        <w:t xml:space="preserve">- присутствие ассистента, оказывающего обучающемуся необходимую помощь. </w:t>
      </w:r>
    </w:p>
    <w:p w14:paraId="0666D3A5" w14:textId="77777777" w:rsidR="00D00968" w:rsidRPr="00D00968" w:rsidRDefault="00D00968" w:rsidP="00D00968">
      <w:pPr>
        <w:ind w:left="-567" w:firstLine="709"/>
        <w:jc w:val="both"/>
        <w:rPr>
          <w:bCs/>
        </w:rPr>
      </w:pPr>
      <w:r w:rsidRPr="00D00968">
        <w:rPr>
          <w:bCs/>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666D3A6" w14:textId="77777777" w:rsidR="00D00968" w:rsidRPr="00D00968" w:rsidRDefault="00D00968" w:rsidP="00D00968">
      <w:pPr>
        <w:ind w:left="-567" w:firstLine="709"/>
        <w:rPr>
          <w:bCs/>
        </w:rPr>
      </w:pPr>
    </w:p>
    <w:p w14:paraId="0666D3A7" w14:textId="77777777" w:rsidR="00D00968" w:rsidRPr="00D00968" w:rsidRDefault="00D00968" w:rsidP="00D00968">
      <w:pPr>
        <w:ind w:left="-567" w:firstLine="709"/>
        <w:rPr>
          <w:bCs/>
        </w:rPr>
      </w:pPr>
    </w:p>
    <w:p w14:paraId="0666D3A8" w14:textId="77777777" w:rsidR="00D00968" w:rsidRPr="00D00968" w:rsidRDefault="00D00968" w:rsidP="005F62F1">
      <w:pPr>
        <w:ind w:left="-567" w:firstLine="709"/>
        <w:rPr>
          <w:bCs/>
        </w:rPr>
      </w:pPr>
    </w:p>
    <w:p w14:paraId="0666D3A9" w14:textId="77777777" w:rsidR="00606E98" w:rsidRPr="005F62F1" w:rsidRDefault="00606E98" w:rsidP="005F62F1">
      <w:pPr>
        <w:ind w:left="-567" w:firstLine="709"/>
        <w:rPr>
          <w:b/>
        </w:rPr>
      </w:pPr>
    </w:p>
    <w:p w14:paraId="0666D3AA" w14:textId="77777777" w:rsidR="00606E98" w:rsidRPr="005F62F1" w:rsidRDefault="00606E98" w:rsidP="005F62F1">
      <w:pPr>
        <w:ind w:left="-567" w:firstLine="709"/>
        <w:rPr>
          <w:b/>
        </w:rPr>
      </w:pPr>
    </w:p>
    <w:p w14:paraId="0666D3AB" w14:textId="77777777" w:rsidR="00606E98" w:rsidRPr="005F62F1" w:rsidRDefault="00606E98" w:rsidP="005F62F1">
      <w:pPr>
        <w:ind w:left="-567" w:firstLine="709"/>
        <w:rPr>
          <w:b/>
        </w:rPr>
      </w:pPr>
    </w:p>
    <w:p w14:paraId="0666D3AC" w14:textId="77777777" w:rsidR="00606E98" w:rsidRPr="005F62F1" w:rsidRDefault="00606E98" w:rsidP="005F62F1">
      <w:pPr>
        <w:ind w:left="-567" w:firstLine="709"/>
        <w:rPr>
          <w:b/>
        </w:rPr>
      </w:pPr>
    </w:p>
    <w:p w14:paraId="0666D3AD" w14:textId="77777777" w:rsidR="00606E98" w:rsidRPr="005F62F1" w:rsidRDefault="00606E98" w:rsidP="005F62F1">
      <w:pPr>
        <w:ind w:left="-567" w:firstLine="709"/>
        <w:rPr>
          <w:b/>
        </w:rPr>
      </w:pPr>
    </w:p>
    <w:p w14:paraId="0666D3AE" w14:textId="77777777" w:rsidR="00606E98" w:rsidRPr="005F62F1" w:rsidRDefault="00606E98" w:rsidP="005F62F1">
      <w:pPr>
        <w:ind w:left="-567" w:firstLine="709"/>
        <w:rPr>
          <w:b/>
        </w:rPr>
      </w:pPr>
    </w:p>
    <w:p w14:paraId="0666D3AF" w14:textId="77777777" w:rsidR="00606E98" w:rsidRPr="005F62F1" w:rsidRDefault="00606E98" w:rsidP="005F62F1">
      <w:pPr>
        <w:ind w:left="-567" w:firstLine="709"/>
        <w:rPr>
          <w:b/>
        </w:rPr>
      </w:pPr>
    </w:p>
    <w:p w14:paraId="0666D3B0" w14:textId="77777777" w:rsidR="00606E98" w:rsidRPr="005F62F1" w:rsidRDefault="00606E98" w:rsidP="005F62F1">
      <w:pPr>
        <w:ind w:left="-567" w:firstLine="709"/>
        <w:rPr>
          <w:b/>
        </w:rPr>
      </w:pPr>
    </w:p>
    <w:p w14:paraId="0666D3B1" w14:textId="77777777" w:rsidR="00606E98" w:rsidRPr="005F62F1" w:rsidRDefault="00606E98" w:rsidP="005F62F1">
      <w:pPr>
        <w:ind w:left="-567" w:firstLine="709"/>
        <w:rPr>
          <w:b/>
        </w:rPr>
      </w:pPr>
    </w:p>
    <w:p w14:paraId="0666D3B2" w14:textId="77777777" w:rsidR="00D950CD" w:rsidRPr="005F62F1" w:rsidRDefault="00D950CD" w:rsidP="005F62F1">
      <w:pPr>
        <w:ind w:left="-567" w:firstLine="709"/>
        <w:rPr>
          <w:b/>
        </w:rPr>
      </w:pPr>
    </w:p>
    <w:p w14:paraId="0666D3B3" w14:textId="77777777" w:rsidR="00D950CD" w:rsidRPr="005F62F1" w:rsidRDefault="00D950CD" w:rsidP="005F62F1">
      <w:pPr>
        <w:ind w:left="-567" w:firstLine="709"/>
        <w:rPr>
          <w:i/>
        </w:rPr>
      </w:pPr>
    </w:p>
    <w:sectPr w:rsidR="00D950CD" w:rsidRPr="005F62F1" w:rsidSect="009D3706">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6D3B6" w14:textId="77777777" w:rsidR="00F72BF7" w:rsidRDefault="00F72BF7" w:rsidP="00E01DB3">
      <w:r>
        <w:separator/>
      </w:r>
    </w:p>
  </w:endnote>
  <w:endnote w:type="continuationSeparator" w:id="0">
    <w:p w14:paraId="0666D3B7" w14:textId="77777777" w:rsidR="00F72BF7" w:rsidRDefault="00F72BF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6D3B4" w14:textId="77777777" w:rsidR="00F72BF7" w:rsidRDefault="00F72BF7" w:rsidP="00E01DB3">
      <w:r>
        <w:separator/>
      </w:r>
    </w:p>
  </w:footnote>
  <w:footnote w:type="continuationSeparator" w:id="0">
    <w:p w14:paraId="0666D3B5" w14:textId="77777777" w:rsidR="00F72BF7" w:rsidRDefault="00F72BF7"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2"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4"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6"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7"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11"/>
  </w:num>
  <w:num w:numId="4">
    <w:abstractNumId w:val="7"/>
  </w:num>
  <w:num w:numId="5">
    <w:abstractNumId w:val="8"/>
  </w:num>
  <w:num w:numId="6">
    <w:abstractNumId w:val="13"/>
  </w:num>
  <w:num w:numId="7">
    <w:abstractNumId w:val="2"/>
  </w:num>
  <w:num w:numId="8">
    <w:abstractNumId w:val="6"/>
  </w:num>
  <w:num w:numId="9">
    <w:abstractNumId w:val="5"/>
  </w:num>
  <w:num w:numId="10">
    <w:abstractNumId w:val="0"/>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61F57"/>
    <w:rsid w:val="000D40E4"/>
    <w:rsid w:val="000F1466"/>
    <w:rsid w:val="00137169"/>
    <w:rsid w:val="00181537"/>
    <w:rsid w:val="001E3C09"/>
    <w:rsid w:val="002631B8"/>
    <w:rsid w:val="00264DF9"/>
    <w:rsid w:val="00293DCD"/>
    <w:rsid w:val="002F58F5"/>
    <w:rsid w:val="003158FC"/>
    <w:rsid w:val="00341690"/>
    <w:rsid w:val="003A1BC6"/>
    <w:rsid w:val="003F7EBA"/>
    <w:rsid w:val="0040005F"/>
    <w:rsid w:val="004269E2"/>
    <w:rsid w:val="00437068"/>
    <w:rsid w:val="00437213"/>
    <w:rsid w:val="00491396"/>
    <w:rsid w:val="004E0C67"/>
    <w:rsid w:val="00507DD0"/>
    <w:rsid w:val="00546C23"/>
    <w:rsid w:val="00582395"/>
    <w:rsid w:val="005F62F1"/>
    <w:rsid w:val="00606E98"/>
    <w:rsid w:val="006354B4"/>
    <w:rsid w:val="0064387E"/>
    <w:rsid w:val="00691AB7"/>
    <w:rsid w:val="006B1049"/>
    <w:rsid w:val="006B1AB8"/>
    <w:rsid w:val="00711096"/>
    <w:rsid w:val="007F0A60"/>
    <w:rsid w:val="00830235"/>
    <w:rsid w:val="008E3AF2"/>
    <w:rsid w:val="00911BC4"/>
    <w:rsid w:val="009318DF"/>
    <w:rsid w:val="009B4D49"/>
    <w:rsid w:val="009D3706"/>
    <w:rsid w:val="00A22803"/>
    <w:rsid w:val="00A230C9"/>
    <w:rsid w:val="00A33193"/>
    <w:rsid w:val="00AF43AD"/>
    <w:rsid w:val="00B65C86"/>
    <w:rsid w:val="00C25187"/>
    <w:rsid w:val="00C3413B"/>
    <w:rsid w:val="00CC13BF"/>
    <w:rsid w:val="00D00968"/>
    <w:rsid w:val="00D533CD"/>
    <w:rsid w:val="00D631CD"/>
    <w:rsid w:val="00D950CD"/>
    <w:rsid w:val="00DB651C"/>
    <w:rsid w:val="00DF3556"/>
    <w:rsid w:val="00E01DB3"/>
    <w:rsid w:val="00E37D39"/>
    <w:rsid w:val="00E97EEF"/>
    <w:rsid w:val="00EE6DE8"/>
    <w:rsid w:val="00F551FB"/>
    <w:rsid w:val="00F72BF7"/>
    <w:rsid w:val="00F86838"/>
    <w:rsid w:val="00F914F5"/>
    <w:rsid w:val="00FB21A8"/>
    <w:rsid w:val="00FB2A09"/>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B06BB9B6-3340-425D-9473-B1A3F3B2D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openedu.ru/course/" TargetMode="External"/><Relationship Id="rId18" Type="http://schemas.openxmlformats.org/officeDocument/2006/relationships/hyperlink" Target="https://get.adobe.com/ru/reader/" TargetMode="External"/><Relationship Id="rId3" Type="http://schemas.openxmlformats.org/officeDocument/2006/relationships/settings" Target="settings.xml"/><Relationship Id="rId21" Type="http://schemas.openxmlformats.org/officeDocument/2006/relationships/hyperlink" Target="https://www.scopus.com/" TargetMode="External"/><Relationship Id="rId7" Type="http://schemas.openxmlformats.org/officeDocument/2006/relationships/hyperlink" Target="http://www.humanities.edu.ru/" TargetMode="External"/><Relationship Id="rId12" Type="http://schemas.openxmlformats.org/officeDocument/2006/relationships/hyperlink" Target="https://openedu.ru/course/misis/MISIS_26/" TargetMode="External"/><Relationship Id="rId17" Type="http://schemas.openxmlformats.org/officeDocument/2006/relationships/hyperlink" Target="https://universarium.org/course/71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niversarium.org/course/739" TargetMode="External"/><Relationship Id="rId20" Type="http://schemas.openxmlformats.org/officeDocument/2006/relationships/hyperlink" Target="https://search.proques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los.msu.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oursera.org/learn/osnovy-filosofii" TargetMode="External"/><Relationship Id="rId23" Type="http://schemas.openxmlformats.org/officeDocument/2006/relationships/footer" Target="footer1.xml"/><Relationship Id="rId10" Type="http://schemas.openxmlformats.org/officeDocument/2006/relationships/hyperlink" Target="http://www.soc.lib.ru" TargetMode="External"/><Relationship Id="rId19" Type="http://schemas.openxmlformats.org/officeDocument/2006/relationships/hyperlink" Target="http://www.7-zip.org/"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openedu.ru/course/" TargetMode="External"/><Relationship Id="rId22" Type="http://schemas.openxmlformats.org/officeDocument/2006/relationships/hyperlink" Target="http://apps.webofknowledg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12</Pages>
  <Words>4589</Words>
  <Characters>26159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Завьялова</cp:lastModifiedBy>
  <cp:revision>37</cp:revision>
  <cp:lastPrinted>2019-03-14T06:31:00Z</cp:lastPrinted>
  <dcterms:created xsi:type="dcterms:W3CDTF">2019-03-14T05:25:00Z</dcterms:created>
  <dcterms:modified xsi:type="dcterms:W3CDTF">2021-04-03T12:22:00Z</dcterms:modified>
</cp:coreProperties>
</file>