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35E42">
        <w:rPr>
          <w:sz w:val="28"/>
          <w:szCs w:val="28"/>
        </w:rPr>
        <w:t>Минобрнауки</w:t>
      </w:r>
      <w:proofErr w:type="spellEnd"/>
      <w:r w:rsidRPr="00835E42">
        <w:rPr>
          <w:sz w:val="28"/>
          <w:szCs w:val="28"/>
        </w:rPr>
        <w:t xml:space="preserve"> Российской Федерации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высшего образования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5E42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 xml:space="preserve">Кафедра </w:t>
      </w:r>
      <w:r w:rsidR="00CD0125" w:rsidRPr="00835E42">
        <w:rPr>
          <w:sz w:val="28"/>
          <w:szCs w:val="28"/>
        </w:rPr>
        <w:t>теории государства и права  и конституционного права</w:t>
      </w: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835E42">
        <w:rPr>
          <w:szCs w:val="28"/>
        </w:rPr>
        <w:t xml:space="preserve">Методические </w:t>
      </w:r>
      <w:r w:rsidR="00491396" w:rsidRPr="00835E42">
        <w:rPr>
          <w:szCs w:val="28"/>
        </w:rPr>
        <w:t>указания</w:t>
      </w:r>
      <w:r w:rsidRPr="00835E42">
        <w:rPr>
          <w:szCs w:val="28"/>
        </w:rPr>
        <w:t xml:space="preserve"> </w:t>
      </w:r>
      <w:r w:rsidR="00691AB7" w:rsidRPr="00835E42">
        <w:rPr>
          <w:szCs w:val="28"/>
        </w:rPr>
        <w:t xml:space="preserve">для </w:t>
      </w:r>
      <w:proofErr w:type="gramStart"/>
      <w:r w:rsidR="00691AB7" w:rsidRPr="00835E42">
        <w:rPr>
          <w:szCs w:val="28"/>
        </w:rPr>
        <w:t>обучающихся</w:t>
      </w:r>
      <w:proofErr w:type="gramEnd"/>
      <w:r w:rsidRPr="00835E42">
        <w:rPr>
          <w:szCs w:val="28"/>
        </w:rPr>
        <w:t xml:space="preserve"> по освоению дисциплины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E01DB3" w:rsidRDefault="00C67F8D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Производственная</w:t>
      </w:r>
      <w:r w:rsidR="00147B1A">
        <w:rPr>
          <w:i/>
        </w:rPr>
        <w:t xml:space="preserve"> практика</w:t>
      </w:r>
    </w:p>
    <w:p w:rsidR="006A5E81" w:rsidRPr="00E01DB3" w:rsidRDefault="00777AA2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  <w:u w:val="single"/>
        </w:rPr>
        <w:t>П</w:t>
      </w:r>
      <w:r>
        <w:rPr>
          <w:i/>
          <w:sz w:val="24"/>
          <w:u w:val="single"/>
        </w:rPr>
        <w:t>равоприменительная практика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D0125" w:rsidRDefault="00CD0125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D0125" w:rsidRDefault="00CD0125" w:rsidP="00CD012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CD0125" w:rsidRDefault="00CD0125" w:rsidP="00CD01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D10ACA" w:rsidRDefault="00D10ACA" w:rsidP="00D10A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C20FA5" w:rsidRDefault="00C20FA5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C20FA5" w:rsidRPr="00C20FA5" w:rsidRDefault="00C20FA5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C20FA5">
        <w:rPr>
          <w:rFonts w:eastAsiaTheme="minorHAnsi"/>
          <w:szCs w:val="22"/>
          <w:lang w:eastAsia="en-US"/>
        </w:rPr>
        <w:t xml:space="preserve">Форма обучения </w:t>
      </w:r>
    </w:p>
    <w:p w:rsidR="00E01DB3" w:rsidRPr="00C20FA5" w:rsidRDefault="00C20FA5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bookmarkStart w:id="0" w:name="BookmarkWhereDelChr13"/>
      <w:bookmarkEnd w:id="0"/>
      <w:r w:rsidRPr="00C20FA5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Pr="00E01DB3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55BC6" w:rsidRPr="00E01DB3" w:rsidRDefault="00C55B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E49C3" w:rsidRDefault="00CE49C3" w:rsidP="00CE49C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Год набора 202</w:t>
      </w:r>
      <w:r w:rsidR="00711D27">
        <w:rPr>
          <w:rFonts w:eastAsia="Calibri"/>
          <w:sz w:val="28"/>
          <w:szCs w:val="28"/>
          <w:lang w:eastAsia="en-US"/>
        </w:rPr>
        <w:t>1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lastRenderedPageBreak/>
        <w:t xml:space="preserve">Составитель: </w:t>
      </w:r>
      <w:r w:rsidR="00CE49C3">
        <w:rPr>
          <w:rFonts w:eastAsia="Calibri"/>
          <w:sz w:val="28"/>
          <w:szCs w:val="28"/>
          <w:lang w:eastAsia="en-US"/>
        </w:rPr>
        <w:t>Воронина И.А.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6C3C" w:rsidRDefault="00D03AC2" w:rsidP="00E46C3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E46C3C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711D27">
        <w:rPr>
          <w:rFonts w:eastAsia="Calibri"/>
          <w:sz w:val="28"/>
          <w:szCs w:val="28"/>
          <w:lang w:eastAsia="en-US"/>
        </w:rPr>
        <w:t>21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3C485C" w:rsidRDefault="007D78B0" w:rsidP="003C485C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3C485C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3C485C" w:rsidRDefault="007D78B0" w:rsidP="003C485C">
          <w:pPr>
            <w:rPr>
              <w:sz w:val="28"/>
              <w:szCs w:val="28"/>
            </w:rPr>
          </w:pPr>
        </w:p>
        <w:p w:rsidR="009D023A" w:rsidRPr="003C485C" w:rsidRDefault="00C05062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C485C">
            <w:rPr>
              <w:sz w:val="28"/>
              <w:szCs w:val="28"/>
            </w:rPr>
            <w:fldChar w:fldCharType="begin"/>
          </w:r>
          <w:r w:rsidRPr="003C485C">
            <w:rPr>
              <w:sz w:val="28"/>
              <w:szCs w:val="28"/>
            </w:rPr>
            <w:instrText xml:space="preserve"> TOC \o "1-3" \h \z \u </w:instrText>
          </w:r>
          <w:r w:rsidRPr="003C485C">
            <w:rPr>
              <w:sz w:val="28"/>
              <w:szCs w:val="28"/>
            </w:rPr>
            <w:fldChar w:fldCharType="separate"/>
          </w:r>
          <w:hyperlink w:anchor="_Toc5535162" w:history="1">
            <w:r w:rsidR="009D023A" w:rsidRPr="003C485C">
              <w:rPr>
                <w:rStyle w:val="ab"/>
                <w:noProof/>
                <w:sz w:val="28"/>
                <w:szCs w:val="28"/>
              </w:rPr>
              <w:t>1 Цели и задачи производственной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_Toc5535162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4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5838AD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3" w:history="1">
            <w:r w:rsidR="009D023A" w:rsidRPr="003C485C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производственной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_Toc5535163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5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5838AD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4" w:history="1">
            <w:r w:rsidR="009D023A" w:rsidRPr="003C485C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производственной практике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_Toc5535164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7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5838AD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5" w:history="1">
            <w:r w:rsidR="009D023A" w:rsidRPr="003C485C">
              <w:rPr>
                <w:rStyle w:val="ab"/>
                <w:noProof/>
                <w:sz w:val="28"/>
                <w:szCs w:val="28"/>
              </w:rPr>
              <w:t>4 Рекомендуемая литература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r w:rsidR="00EC1E3B">
            <w:rPr>
              <w:noProof/>
              <w:sz w:val="28"/>
              <w:szCs w:val="28"/>
            </w:rPr>
            <w:t>9</w:t>
          </w:r>
        </w:p>
        <w:p w:rsidR="009D023A" w:rsidRPr="003C485C" w:rsidRDefault="005838AD" w:rsidP="003C485C">
          <w:pPr>
            <w:pStyle w:val="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6" w:history="1">
            <w:r w:rsidR="009D023A" w:rsidRPr="003C485C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4.1 Учебная литература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r w:rsidR="00EC1E3B">
            <w:rPr>
              <w:noProof/>
              <w:sz w:val="28"/>
              <w:szCs w:val="28"/>
            </w:rPr>
            <w:t>9</w:t>
          </w:r>
        </w:p>
        <w:p w:rsidR="009D023A" w:rsidRPr="003C485C" w:rsidRDefault="005838AD" w:rsidP="003C485C">
          <w:pPr>
            <w:pStyle w:val="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7" w:history="1">
            <w:r w:rsidR="00CE4CE1">
              <w:rPr>
                <w:rStyle w:val="ab"/>
                <w:noProof/>
                <w:sz w:val="28"/>
                <w:szCs w:val="28"/>
              </w:rPr>
              <w:t xml:space="preserve">4.2  Нормативные </w:t>
            </w:r>
            <w:r w:rsidR="009D023A" w:rsidRPr="003C485C">
              <w:rPr>
                <w:rStyle w:val="ab"/>
                <w:noProof/>
                <w:sz w:val="28"/>
                <w:szCs w:val="28"/>
              </w:rPr>
              <w:t>правовые акты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bookmarkStart w:id="1" w:name="_GoBack"/>
          <w:bookmarkEnd w:id="1"/>
          <w:r w:rsidR="00EC1E3B">
            <w:rPr>
              <w:noProof/>
              <w:sz w:val="28"/>
              <w:szCs w:val="28"/>
            </w:rPr>
            <w:t>10</w:t>
          </w:r>
        </w:p>
        <w:p w:rsidR="00C05062" w:rsidRPr="003C485C" w:rsidRDefault="00C05062" w:rsidP="003C485C">
          <w:pPr>
            <w:rPr>
              <w:sz w:val="28"/>
              <w:szCs w:val="28"/>
            </w:rPr>
          </w:pPr>
          <w:r w:rsidRPr="003C485C">
            <w:rPr>
              <w:bCs/>
              <w:sz w:val="28"/>
              <w:szCs w:val="28"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535162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Цели и задачи </w:t>
      </w:r>
      <w:r w:rsidR="00C67F8D">
        <w:rPr>
          <w:rFonts w:ascii="Times New Roman" w:hAnsi="Times New Roman" w:cs="Times New Roman"/>
          <w:color w:val="auto"/>
          <w:sz w:val="32"/>
          <w:szCs w:val="32"/>
        </w:rPr>
        <w:t>производственной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практики</w:t>
      </w:r>
      <w:bookmarkEnd w:id="2"/>
    </w:p>
    <w:p w:rsidR="00E365EE" w:rsidRPr="000A23DC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8C5C58" w:rsidRPr="008C5C58" w:rsidRDefault="008C5C58" w:rsidP="008C5C5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b/>
          <w:sz w:val="28"/>
          <w:szCs w:val="28"/>
          <w:lang w:eastAsia="en-US"/>
        </w:rPr>
        <w:t>Цель</w:t>
      </w:r>
      <w:r>
        <w:rPr>
          <w:rFonts w:eastAsiaTheme="minorHAnsi"/>
          <w:b/>
          <w:sz w:val="28"/>
          <w:szCs w:val="28"/>
          <w:lang w:eastAsia="en-US"/>
        </w:rPr>
        <w:t>ю производственной</w:t>
      </w:r>
      <w:r w:rsidRPr="008C5C58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практики являются</w:t>
      </w:r>
      <w:r w:rsidRPr="008C5C58">
        <w:rPr>
          <w:rFonts w:eastAsiaTheme="minorHAnsi"/>
          <w:sz w:val="28"/>
          <w:szCs w:val="28"/>
          <w:lang w:eastAsia="en-US"/>
        </w:rPr>
        <w:t xml:space="preserve"> профессиональная ориентация студентов, закрепление и углубление теоретических знаний студентов в сфере юриспруденции, приобретение ими практических навыков и опыта самостоятельной профессиональной деятельности, формирование профессиональных компетенций, а также получение углубленных знаний о содержании и специфике юридической работы в государственно-правовой сфере.</w:t>
      </w:r>
    </w:p>
    <w:p w:rsidR="008C5C58" w:rsidRPr="008C5C58" w:rsidRDefault="008C5C58" w:rsidP="008C5C5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F6342">
        <w:rPr>
          <w:rFonts w:eastAsiaTheme="minorHAnsi"/>
          <w:sz w:val="28"/>
          <w:szCs w:val="28"/>
          <w:lang w:eastAsia="en-US"/>
        </w:rPr>
        <w:t>Задач</w:t>
      </w:r>
      <w:r w:rsidR="001F6342" w:rsidRPr="001F6342">
        <w:rPr>
          <w:rFonts w:eastAsiaTheme="minorHAnsi"/>
          <w:sz w:val="28"/>
          <w:szCs w:val="28"/>
          <w:lang w:eastAsia="en-US"/>
        </w:rPr>
        <w:t>и</w:t>
      </w:r>
      <w:r w:rsidRPr="001F6342">
        <w:rPr>
          <w:rFonts w:eastAsiaTheme="minorHAnsi"/>
          <w:sz w:val="28"/>
          <w:szCs w:val="28"/>
          <w:lang w:eastAsia="en-US"/>
        </w:rPr>
        <w:t xml:space="preserve"> производственной практики</w:t>
      </w:r>
      <w:r w:rsidRPr="008C5C58">
        <w:rPr>
          <w:rFonts w:eastAsiaTheme="minorHAnsi"/>
          <w:sz w:val="28"/>
          <w:szCs w:val="28"/>
          <w:lang w:eastAsia="en-US"/>
        </w:rPr>
        <w:t>: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sz w:val="28"/>
          <w:szCs w:val="28"/>
          <w:lang w:eastAsia="en-US"/>
        </w:rPr>
        <w:t>ознакомиться со структурой и основными направлениями юридической деятельности базовой организации;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изучить опыт правоприменительной и правотворческой работы базовой организации, а также содержание основных видов юридической деятельности;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ознакомиться с основными функциями должностных лиц и специалистов юридического профиля;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 xml:space="preserve">проверить и закрепить знания, полученные в процессе теоретического </w:t>
      </w:r>
      <w:proofErr w:type="gramStart"/>
      <w:r w:rsidRPr="008C5C58">
        <w:rPr>
          <w:rFonts w:eastAsiaTheme="minorHAnsi"/>
          <w:color w:val="000000"/>
          <w:sz w:val="28"/>
          <w:szCs w:val="28"/>
          <w:lang w:eastAsia="en-US"/>
        </w:rPr>
        <w:t>обучения по дисциплинам</w:t>
      </w:r>
      <w:proofErr w:type="gramEnd"/>
      <w:r w:rsidRPr="008C5C58">
        <w:rPr>
          <w:rFonts w:eastAsiaTheme="minorHAnsi"/>
          <w:color w:val="000000"/>
          <w:sz w:val="28"/>
          <w:szCs w:val="28"/>
          <w:lang w:eastAsia="en-US"/>
        </w:rPr>
        <w:t xml:space="preserve"> профессионального цикла;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освоить формы и приемы деловой коммуникации, работы с информационными источниками и справочно-правовыми базами;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sz w:val="28"/>
          <w:szCs w:val="28"/>
          <w:lang w:eastAsia="en-US"/>
        </w:rPr>
        <w:t>сформировать ответственное и уважительное отношение к избранной профессии;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совершенствовать навыки сбора, анализа, обобщения и систематизации правовой информации, необходимые для дальнейшей профессиональной юридической деятельности.</w:t>
      </w:r>
    </w:p>
    <w:p w:rsidR="004067C0" w:rsidRPr="000A23DC" w:rsidRDefault="004067C0" w:rsidP="008C5C58">
      <w:pPr>
        <w:widowControl w:val="0"/>
        <w:tabs>
          <w:tab w:val="left" w:pos="1276"/>
          <w:tab w:val="left" w:pos="291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5C58">
        <w:rPr>
          <w:rFonts w:eastAsia="Calibri"/>
          <w:sz w:val="28"/>
          <w:szCs w:val="28"/>
          <w:lang w:eastAsia="en-US"/>
        </w:rPr>
        <w:t xml:space="preserve">Базами </w:t>
      </w:r>
      <w:r w:rsidR="001F6342">
        <w:rPr>
          <w:rFonts w:eastAsia="Calibri"/>
          <w:sz w:val="28"/>
          <w:szCs w:val="28"/>
          <w:lang w:eastAsia="en-US"/>
        </w:rPr>
        <w:t>производственной</w:t>
      </w:r>
      <w:r w:rsidRPr="008C5C58">
        <w:rPr>
          <w:rFonts w:eastAsia="Calibri"/>
          <w:sz w:val="28"/>
          <w:szCs w:val="28"/>
          <w:lang w:eastAsia="en-US"/>
        </w:rPr>
        <w:t xml:space="preserve"> практики могут выступать органы исполнительной, законодательной и судебной власти, правоохранительные органы (прокуратура,</w:t>
      </w:r>
      <w:r w:rsidR="00F07CAC" w:rsidRPr="008C5C58">
        <w:rPr>
          <w:rFonts w:eastAsia="Calibri"/>
          <w:sz w:val="28"/>
          <w:szCs w:val="28"/>
          <w:lang w:eastAsia="en-US"/>
        </w:rPr>
        <w:t xml:space="preserve"> </w:t>
      </w:r>
      <w:r w:rsidRPr="008C5C58">
        <w:rPr>
          <w:rFonts w:eastAsia="Calibri"/>
          <w:sz w:val="28"/>
          <w:szCs w:val="28"/>
          <w:lang w:eastAsia="en-US"/>
        </w:rPr>
        <w:t xml:space="preserve">следственный комитет, МВД, </w:t>
      </w:r>
      <w:r w:rsidR="00F07CAC" w:rsidRPr="008C5C58">
        <w:rPr>
          <w:rFonts w:eastAsia="Calibri"/>
          <w:sz w:val="28"/>
          <w:szCs w:val="28"/>
          <w:lang w:eastAsia="en-US"/>
        </w:rPr>
        <w:t xml:space="preserve">ФССП </w:t>
      </w:r>
      <w:r w:rsidRPr="008C5C58">
        <w:rPr>
          <w:rFonts w:eastAsia="Calibri"/>
          <w:sz w:val="28"/>
          <w:szCs w:val="28"/>
          <w:lang w:eastAsia="en-US"/>
        </w:rPr>
        <w:t>и др</w:t>
      </w:r>
      <w:r w:rsidRPr="000A23DC">
        <w:rPr>
          <w:rFonts w:eastAsia="Calibri"/>
          <w:sz w:val="28"/>
          <w:szCs w:val="28"/>
          <w:lang w:eastAsia="en-US"/>
        </w:rPr>
        <w:t>.), а также юридические отделы и отделы кадров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государственных и муниципальных </w:t>
      </w:r>
      <w:r w:rsidRPr="000A23DC">
        <w:rPr>
          <w:rFonts w:eastAsia="Calibri"/>
          <w:sz w:val="28"/>
          <w:szCs w:val="28"/>
          <w:lang w:eastAsia="en-US"/>
        </w:rPr>
        <w:t xml:space="preserve"> учреждений или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организаций и т.д.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 имеет право выбрать место практики самостоятельно, согласовав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 деканатом.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55D9" w:rsidRPr="007D78B0" w:rsidRDefault="001155D9" w:rsidP="001F6342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3" w:name="_Toc5535163"/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Методические указания к отдельным этапам </w:t>
      </w:r>
      <w:r w:rsidR="00E95EBE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производственной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практики</w:t>
      </w:r>
      <w:bookmarkEnd w:id="3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7D78B0" w:rsidRDefault="00397517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32"/>
          <w:szCs w:val="32"/>
          <w:lang w:eastAsia="en-US"/>
        </w:rPr>
      </w:pPr>
    </w:p>
    <w:p w:rsidR="00B36429" w:rsidRPr="000A23DC" w:rsidRDefault="00397517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 xml:space="preserve">и </w:t>
      </w:r>
      <w:r w:rsidR="0081741C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 xml:space="preserve">ля прохождения </w:t>
      </w:r>
      <w:r w:rsidR="00C82C4A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прохождение </w:t>
      </w:r>
      <w:r w:rsidR="00C82C4A" w:rsidRPr="00C82C4A">
        <w:rPr>
          <w:rFonts w:eastAsia="Calibri"/>
          <w:sz w:val="28"/>
          <w:szCs w:val="28"/>
          <w:lang w:eastAsia="en-US"/>
        </w:rPr>
        <w:t>производственной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рганизационной структурой организации, особенностями функционирования структурных подразделений (отделов) организации, </w:t>
      </w:r>
      <w:r w:rsidR="00C2679D" w:rsidRPr="000A23DC">
        <w:rPr>
          <w:rFonts w:eastAsia="Calibri"/>
          <w:sz w:val="28"/>
          <w:szCs w:val="28"/>
          <w:lang w:eastAsia="en-US"/>
        </w:rPr>
        <w:lastRenderedPageBreak/>
        <w:t>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 xml:space="preserve">приказом о направлении на </w:t>
      </w:r>
      <w:r w:rsidR="00162F4B">
        <w:rPr>
          <w:rFonts w:eastAsia="Calibri"/>
          <w:sz w:val="28"/>
          <w:szCs w:val="28"/>
          <w:lang w:eastAsia="en-US"/>
        </w:rPr>
        <w:t xml:space="preserve">производственную </w:t>
      </w:r>
      <w:r w:rsidRPr="000A23DC">
        <w:rPr>
          <w:rFonts w:eastAsia="Calibri"/>
          <w:sz w:val="28"/>
          <w:szCs w:val="28"/>
          <w:lang w:eastAsia="en-US"/>
        </w:rPr>
        <w:t>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действиях.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Инструктаж по технике безопасности и пожарной безопасности в организации – объекте </w:t>
      </w:r>
      <w:r w:rsidR="00162F4B">
        <w:rPr>
          <w:rFonts w:eastAsia="Calibri"/>
          <w:sz w:val="28"/>
          <w:szCs w:val="28"/>
          <w:lang w:eastAsia="en-US"/>
        </w:rPr>
        <w:t>производственной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</w:t>
      </w:r>
      <w:r w:rsidR="00EA3A0A">
        <w:rPr>
          <w:rFonts w:eastAsia="Calibri"/>
          <w:sz w:val="28"/>
          <w:szCs w:val="28"/>
          <w:lang w:eastAsia="en-US"/>
        </w:rPr>
        <w:t xml:space="preserve">производственного </w:t>
      </w:r>
      <w:r w:rsidRPr="000A23DC">
        <w:rPr>
          <w:rFonts w:eastAsia="Calibri"/>
          <w:sz w:val="28"/>
          <w:szCs w:val="28"/>
          <w:lang w:eastAsia="en-US"/>
        </w:rPr>
        <w:t xml:space="preserve">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отчета по </w:t>
      </w:r>
      <w:r w:rsidR="00290B10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практике, при этом практикант должен уделить внимание: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выполнению</w:t>
      </w:r>
      <w:r w:rsidRPr="00290B10">
        <w:rPr>
          <w:rFonts w:eastAsia="Calibri"/>
          <w:sz w:val="28"/>
          <w:szCs w:val="28"/>
          <w:lang w:eastAsia="en-US"/>
        </w:rPr>
        <w:t xml:space="preserve"> работы по специальности в соответствии с профилем деятельности базовой организации по поручению специалиста;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участию</w:t>
      </w:r>
      <w:r w:rsidRPr="00290B10">
        <w:rPr>
          <w:rFonts w:eastAsia="Calibri"/>
          <w:sz w:val="28"/>
          <w:szCs w:val="28"/>
          <w:lang w:eastAsia="en-US"/>
        </w:rPr>
        <w:t xml:space="preserve"> выездных в мероприятиях совместно со специалистом базовой организации (в следственных действиях, судебных заседаниях, переговорах и т.п.);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составлению</w:t>
      </w:r>
      <w:r w:rsidRPr="00290B10">
        <w:rPr>
          <w:rFonts w:eastAsia="Calibri"/>
          <w:sz w:val="28"/>
          <w:szCs w:val="28"/>
          <w:lang w:eastAsia="en-US"/>
        </w:rPr>
        <w:t xml:space="preserve"> типовых юридических документов в соответствии с профилем организации</w:t>
      </w:r>
      <w:r>
        <w:rPr>
          <w:rFonts w:eastAsia="Calibri"/>
          <w:sz w:val="28"/>
          <w:szCs w:val="28"/>
          <w:lang w:eastAsia="en-US"/>
        </w:rPr>
        <w:t>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разработке</w:t>
      </w:r>
      <w:r w:rsidRPr="00290B10">
        <w:rPr>
          <w:rFonts w:eastAsia="Calibri"/>
          <w:sz w:val="28"/>
          <w:szCs w:val="28"/>
          <w:lang w:eastAsia="en-US"/>
        </w:rPr>
        <w:t xml:space="preserve"> локальных нормативно-правовых актов (устав, положение, регламент, инструкция, приказ и т.п.) в соответствии с профилем деятельности базовой организации;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разработк</w:t>
      </w:r>
      <w:r>
        <w:rPr>
          <w:rFonts w:eastAsia="Calibri"/>
          <w:sz w:val="28"/>
          <w:szCs w:val="28"/>
          <w:lang w:eastAsia="en-US"/>
        </w:rPr>
        <w:t>е</w:t>
      </w:r>
      <w:r w:rsidRPr="00290B10">
        <w:rPr>
          <w:rFonts w:eastAsia="Calibri"/>
          <w:sz w:val="28"/>
          <w:szCs w:val="28"/>
          <w:lang w:eastAsia="en-US"/>
        </w:rPr>
        <w:t xml:space="preserve"> новых форм юридических документов (договор, акт, протокол, постановление и т.п.) в соответствии с профилем деятельности базовой организации.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консультировани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по вопросам, входящим в компетенцию специалиста юридического профиля;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анализа юридической деятельности базовой организации и разработка предложений по её совершенствованию.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анализа основных нормативно-правовых актов, регулирующих порядок создания и деятельности базовой организации (законы, указы, постановления, приказы, решения и распоряжения органов государственной власти и местного самоуправления, решений и т.п.);</w:t>
      </w:r>
    </w:p>
    <w:p w:rsidR="00290B10" w:rsidRPr="00290B10" w:rsidRDefault="0030456E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проведению</w:t>
      </w:r>
      <w:r w:rsidR="00290B10" w:rsidRPr="00290B10">
        <w:rPr>
          <w:rFonts w:eastAsia="Calibri"/>
          <w:sz w:val="28"/>
          <w:szCs w:val="28"/>
          <w:lang w:eastAsia="en-US"/>
        </w:rPr>
        <w:t xml:space="preserve"> анализа локальных нормативных актов, регламентирующих внутреннюю структуру и деятельность базовой </w:t>
      </w:r>
      <w:r w:rsidR="00290B10" w:rsidRPr="00290B10">
        <w:rPr>
          <w:rFonts w:eastAsia="Calibri"/>
          <w:sz w:val="28"/>
          <w:szCs w:val="28"/>
          <w:lang w:eastAsia="en-US"/>
        </w:rPr>
        <w:lastRenderedPageBreak/>
        <w:t>организации, должностные обязанности специалистов юридического профиля (правила внутреннего распорядка, приказы, положения о структурном подразделении, должностные инструкции, трудовые договоры (контракты) и т.п.);</w:t>
      </w:r>
    </w:p>
    <w:p w:rsidR="0030456E" w:rsidRDefault="0030456E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290B10"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="00290B10" w:rsidRPr="00290B10">
        <w:rPr>
          <w:rFonts w:eastAsia="Calibri"/>
          <w:sz w:val="28"/>
          <w:szCs w:val="28"/>
          <w:lang w:eastAsia="en-US"/>
        </w:rPr>
        <w:t xml:space="preserve"> анализа юридической практики и профессиональной документации специалистов юридического профиля базовой организации (договоры, претензии, протоколы, постановления, исковые заявления и т.п.).</w:t>
      </w:r>
    </w:p>
    <w:p w:rsidR="000D45ED" w:rsidRPr="000A23DC" w:rsidRDefault="001857D9" w:rsidP="000D45ED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 xml:space="preserve">этапе </w:t>
      </w:r>
      <w:r w:rsidR="0030456E">
        <w:rPr>
          <w:rFonts w:eastAsia="Calibri"/>
          <w:sz w:val="28"/>
          <w:szCs w:val="28"/>
          <w:lang w:eastAsia="en-US"/>
        </w:rPr>
        <w:t>студент осуще</w:t>
      </w:r>
      <w:r w:rsidR="000D45ED">
        <w:rPr>
          <w:rFonts w:eastAsia="Calibri"/>
          <w:sz w:val="28"/>
          <w:szCs w:val="28"/>
          <w:lang w:eastAsia="en-US"/>
        </w:rPr>
        <w:t>ствляет с</w:t>
      </w:r>
      <w:r w:rsidR="0030456E" w:rsidRPr="0030456E">
        <w:rPr>
          <w:rFonts w:eastAsia="Calibri"/>
          <w:sz w:val="28"/>
          <w:szCs w:val="28"/>
          <w:lang w:eastAsia="en-US"/>
        </w:rPr>
        <w:t>труктурирование информации и результатов ее анализа; составление и оформление отчета по практике; обсуждение полученных результатов совместно с руководителем практики; собеседование по итогам практики; подготовка к защите и защита отчета на основе подготовленной мультимедийной презентации и отчета в печатном виде.</w:t>
      </w:r>
      <w:r w:rsidR="000D45ED">
        <w:rPr>
          <w:rFonts w:eastAsia="Calibri"/>
          <w:sz w:val="28"/>
          <w:szCs w:val="28"/>
          <w:lang w:eastAsia="en-US"/>
        </w:rPr>
        <w:t xml:space="preserve"> </w:t>
      </w:r>
    </w:p>
    <w:p w:rsidR="001E338B" w:rsidRPr="000A23DC" w:rsidRDefault="001E338B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93F25" w:rsidRPr="007D78B0" w:rsidRDefault="000A23DC" w:rsidP="007D78B0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35164"/>
      <w:r w:rsidRPr="007D78B0">
        <w:rPr>
          <w:rFonts w:ascii="Times New Roman" w:hAnsi="Times New Roman" w:cs="Times New Roman"/>
          <w:color w:val="auto"/>
          <w:sz w:val="32"/>
          <w:szCs w:val="32"/>
        </w:rPr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</w:t>
      </w:r>
      <w:r w:rsidR="00E95EBE">
        <w:rPr>
          <w:rFonts w:ascii="Times New Roman" w:hAnsi="Times New Roman" w:cs="Times New Roman"/>
          <w:color w:val="auto"/>
          <w:sz w:val="32"/>
          <w:szCs w:val="32"/>
        </w:rPr>
        <w:t>производственной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практике</w:t>
      </w:r>
      <w:bookmarkEnd w:id="4"/>
    </w:p>
    <w:p w:rsidR="009B3CFA" w:rsidRPr="007D78B0" w:rsidRDefault="009B3CFA" w:rsidP="007D78B0">
      <w:pPr>
        <w:ind w:firstLine="709"/>
        <w:jc w:val="both"/>
        <w:rPr>
          <w:sz w:val="32"/>
          <w:szCs w:val="32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</w:t>
      </w:r>
      <w:r w:rsidR="000D45ED">
        <w:rPr>
          <w:sz w:val="28"/>
          <w:szCs w:val="28"/>
        </w:rPr>
        <w:t xml:space="preserve"> вид, характер и объе</w:t>
      </w:r>
      <w:r w:rsidRPr="000A23DC">
        <w:rPr>
          <w:sz w:val="28"/>
          <w:szCs w:val="28"/>
        </w:rPr>
        <w:t>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lastRenderedPageBreak/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о </w:t>
      </w:r>
      <w:r w:rsidR="00A7142F">
        <w:rPr>
          <w:sz w:val="28"/>
          <w:szCs w:val="28"/>
        </w:rPr>
        <w:t xml:space="preserve">производственной </w:t>
      </w:r>
      <w:r w:rsidRPr="000A23DC">
        <w:rPr>
          <w:sz w:val="28"/>
          <w:szCs w:val="28"/>
        </w:rPr>
        <w:t xml:space="preserve">практике составляется студентом в соответствии с 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разбор дел, расследуемых</w:t>
      </w:r>
      <w:r w:rsidR="000D45ED">
        <w:rPr>
          <w:sz w:val="28"/>
          <w:szCs w:val="28"/>
        </w:rPr>
        <w:t xml:space="preserve"> следователем, рассмотренных су</w:t>
      </w:r>
      <w:r w:rsidRPr="000A23DC">
        <w:rPr>
          <w:sz w:val="28"/>
          <w:szCs w:val="28"/>
        </w:rPr>
        <w:t xml:space="preserve">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изложение неясных, спор</w:t>
      </w:r>
      <w:r w:rsidR="000D45ED">
        <w:rPr>
          <w:sz w:val="28"/>
          <w:szCs w:val="28"/>
        </w:rPr>
        <w:t>ных юридических вопросов, возни</w:t>
      </w:r>
      <w:r w:rsidRPr="000A23DC">
        <w:rPr>
          <w:sz w:val="28"/>
          <w:szCs w:val="28"/>
        </w:rPr>
        <w:t xml:space="preserve">кавших по конкретным делам, и свое видение их правильного </w:t>
      </w:r>
      <w:r w:rsidR="00ED4EC2">
        <w:rPr>
          <w:sz w:val="28"/>
          <w:szCs w:val="28"/>
        </w:rPr>
        <w:t>раз</w:t>
      </w:r>
      <w:r w:rsidRPr="000A23DC">
        <w:rPr>
          <w:sz w:val="28"/>
          <w:szCs w:val="28"/>
        </w:rPr>
        <w:t xml:space="preserve">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К отчету прилагаются до</w:t>
      </w:r>
      <w:r w:rsidR="00ED4EC2">
        <w:rPr>
          <w:sz w:val="28"/>
          <w:szCs w:val="28"/>
        </w:rPr>
        <w:t>кументы, составленные самим сту</w:t>
      </w:r>
      <w:r w:rsidRPr="000A23DC">
        <w:rPr>
          <w:sz w:val="28"/>
          <w:szCs w:val="28"/>
        </w:rPr>
        <w:t xml:space="preserve">дентом в период прохождения практики. </w:t>
      </w:r>
    </w:p>
    <w:p w:rsidR="008328FE" w:rsidRPr="007D78B0" w:rsidRDefault="008328FE" w:rsidP="00EC1E3B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535165"/>
    </w:p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EC1E3B" w:rsidRDefault="00EC1E3B" w:rsidP="00EC1E3B"/>
    <w:p w:rsidR="00EC1E3B" w:rsidRDefault="00EC1E3B" w:rsidP="00EC1E3B"/>
    <w:p w:rsidR="00EC1E3B" w:rsidRPr="00EC1E3B" w:rsidRDefault="00EC1E3B" w:rsidP="00EC1E3B"/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0A23DC" w:rsidRPr="007D78B0" w:rsidRDefault="000A23DC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4 Рекомендуемая литература</w:t>
      </w:r>
      <w:bookmarkEnd w:id="5"/>
    </w:p>
    <w:p w:rsidR="00835E42" w:rsidRPr="00835E42" w:rsidRDefault="005F344F" w:rsidP="00835E42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6" w:name="_Toc5535166"/>
      <w:r w:rsidRPr="00ED4EC2">
        <w:rPr>
          <w:b/>
          <w:sz w:val="28"/>
          <w:szCs w:val="28"/>
        </w:rPr>
        <w:t xml:space="preserve">4.1 </w:t>
      </w:r>
      <w:bookmarkEnd w:id="6"/>
      <w:r w:rsidR="00835E42" w:rsidRPr="00835E42">
        <w:rPr>
          <w:b/>
        </w:rPr>
        <w:t>Учебная литература</w:t>
      </w:r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Авакьян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, С. А. Конституционное право России. Учебный курс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учебное пособие : в 2-х т. Т. 2. / С. А.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Авакьян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 xml:space="preserve">. - 5-e изд.,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. и доп. - Москва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ИНФРА-М, 2020. - 912 с. - ISBN 978-5-91768-903-6. - Текст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9" w:history="1">
        <w:r w:rsidRPr="00711D27">
          <w:rPr>
            <w:rStyle w:val="ab"/>
            <w:sz w:val="28"/>
            <w:szCs w:val="28"/>
            <w:shd w:val="clear" w:color="auto" w:fill="FFFFFF"/>
          </w:rPr>
          <w:t>https://znanium.com/catalog/product/1043982</w:t>
        </w:r>
      </w:hyperlink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rStyle w:val="ab"/>
          <w:sz w:val="28"/>
          <w:szCs w:val="28"/>
          <w:shd w:val="clear" w:color="auto" w:fill="FFFFFF"/>
        </w:rPr>
      </w:pPr>
      <w:r w:rsidRPr="00711D27">
        <w:rPr>
          <w:color w:val="001329"/>
          <w:sz w:val="28"/>
          <w:szCs w:val="28"/>
          <w:shd w:val="clear" w:color="auto" w:fill="FFFFFF"/>
        </w:rPr>
        <w:t xml:space="preserve">Черепанов, В. А. Конституционное право России </w:t>
      </w:r>
      <w:r w:rsidRPr="00711D27">
        <w:rPr>
          <w:sz w:val="28"/>
          <w:szCs w:val="28"/>
        </w:rPr>
        <w:t>[Электронный ресурс]</w:t>
      </w:r>
      <w:r w:rsidRPr="00711D27">
        <w:rPr>
          <w:color w:val="001329"/>
          <w:sz w:val="28"/>
          <w:szCs w:val="28"/>
          <w:shd w:val="clear" w:color="auto" w:fill="FFFFFF"/>
        </w:rPr>
        <w:t xml:space="preserve">: учебник для бакалавров / В. А. Черепанов. — 2-е изд.,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. и доп. — Москва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ИНФРА-М, 2021. — 424 с. </w:t>
      </w:r>
      <w:r w:rsidRPr="00711D27">
        <w:rPr>
          <w:sz w:val="28"/>
          <w:szCs w:val="28"/>
        </w:rPr>
        <w:t>–</w:t>
      </w:r>
      <w:r w:rsidRPr="00711D27">
        <w:rPr>
          <w:color w:val="001329"/>
          <w:sz w:val="28"/>
          <w:szCs w:val="28"/>
          <w:shd w:val="clear" w:color="auto" w:fill="FFFFFF"/>
        </w:rPr>
        <w:t xml:space="preserve"> ISBN 978-5-00156-062-3. – Режим доступа: </w:t>
      </w:r>
      <w:hyperlink r:id="rId10" w:history="1">
        <w:r w:rsidRPr="00711D27">
          <w:rPr>
            <w:rStyle w:val="ab"/>
            <w:sz w:val="28"/>
            <w:szCs w:val="28"/>
            <w:shd w:val="clear" w:color="auto" w:fill="FFFFFF"/>
          </w:rPr>
          <w:t>https://znanium.com/catalog/product/1080890</w:t>
        </w:r>
      </w:hyperlink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r w:rsidRPr="00711D27">
        <w:rPr>
          <w:color w:val="001329"/>
          <w:sz w:val="28"/>
          <w:szCs w:val="28"/>
          <w:shd w:val="clear" w:color="auto" w:fill="FFFFFF"/>
        </w:rPr>
        <w:t>Дудко, И. А. Зашита прав и свобод человека и гражданина в Российской Федерации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учебное пособие / И. А. Дудко. - Москва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РГУП, 2020. - 158 с. - ISBN 978-5-93916-780-2. - Текст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11" w:history="1">
        <w:r w:rsidRPr="00711D27">
          <w:rPr>
            <w:rStyle w:val="ab"/>
            <w:sz w:val="28"/>
            <w:szCs w:val="28"/>
            <w:shd w:val="clear" w:color="auto" w:fill="FFFFFF"/>
          </w:rPr>
          <w:t>https://znanium.com/catalog/product/1191361</w:t>
        </w:r>
      </w:hyperlink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Капицын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, В. М. Права человека и механизмы их защиты [Электронный ресурс]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Учебное пособие / В. М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.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Капицын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. - Москва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ИКФ «ЭКМОС», 2003.-288 с. - ISBN 59589-0003-Х. - Текст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https://znanium.com/catalog/product/478411</w:t>
      </w:r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711D27">
        <w:rPr>
          <w:color w:val="001329"/>
          <w:sz w:val="28"/>
          <w:szCs w:val="28"/>
          <w:shd w:val="clear" w:color="auto" w:fill="FFFFFF"/>
        </w:rPr>
        <w:t>Мещерякова, М. А. Структура и полномочия органов местного самоуправления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учебное пособие / М. А. Мещерякова, О. Х.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Молокаева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. - Москва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РГУП, 2018. - 120 с. - ISBN 978-5-93916-691-1. - Текст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https://znanium.com/catalog/product/1195533</w:t>
      </w:r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711D27">
        <w:rPr>
          <w:color w:val="001329"/>
          <w:sz w:val="28"/>
          <w:szCs w:val="28"/>
          <w:shd w:val="clear" w:color="auto" w:fill="FFFFFF"/>
        </w:rPr>
        <w:t>Муниципальное право России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учебник для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бакалавриата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 xml:space="preserve"> / отв. ред. Г. Н. Чеботарев. — 3-е изд., </w:t>
      </w:r>
      <w:proofErr w:type="spellStart"/>
      <w:r w:rsidRPr="00711D27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711D27">
        <w:rPr>
          <w:color w:val="001329"/>
          <w:sz w:val="28"/>
          <w:szCs w:val="28"/>
          <w:shd w:val="clear" w:color="auto" w:fill="FFFFFF"/>
        </w:rPr>
        <w:t>. и доп. — Москва : Норма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ИНФРА-М, 2020. — 416 с. - ISBN 978-5-91768-834-3. - Текст</w:t>
      </w:r>
      <w:proofErr w:type="gramStart"/>
      <w:r w:rsidRPr="00711D27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https://znanium.com/catalog/product/1114572 </w:t>
      </w:r>
    </w:p>
    <w:p w:rsidR="00711D27" w:rsidRPr="00711D27" w:rsidRDefault="00711D27" w:rsidP="00711D27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  <w:r w:rsidRPr="00711D27">
        <w:rPr>
          <w:sz w:val="28"/>
          <w:szCs w:val="28"/>
          <w:shd w:val="clear" w:color="auto" w:fill="FFFFFF"/>
        </w:rPr>
        <w:t>Муниципальное управление и местное самоуправление</w:t>
      </w:r>
      <w:proofErr w:type="gramStart"/>
      <w:r w:rsidRPr="00711D27">
        <w:rPr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sz w:val="28"/>
          <w:szCs w:val="28"/>
          <w:shd w:val="clear" w:color="auto" w:fill="FFFFFF"/>
        </w:rPr>
        <w:t xml:space="preserve"> учебник / под ред. И.А. Алексеева. — Москва</w:t>
      </w:r>
      <w:proofErr w:type="gramStart"/>
      <w:r w:rsidRPr="00711D27">
        <w:rPr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sz w:val="28"/>
          <w:szCs w:val="28"/>
          <w:shd w:val="clear" w:color="auto" w:fill="FFFFFF"/>
        </w:rPr>
        <w:t xml:space="preserve"> </w:t>
      </w:r>
      <w:proofErr w:type="gramStart"/>
      <w:r w:rsidRPr="00711D27">
        <w:rPr>
          <w:sz w:val="28"/>
          <w:szCs w:val="28"/>
          <w:shd w:val="clear" w:color="auto" w:fill="FFFFFF"/>
        </w:rPr>
        <w:t>ИНФРА-М, 2020. — 353 с. — (Высшее образование:</w:t>
      </w:r>
      <w:proofErr w:type="gramEnd"/>
      <w:r w:rsidRPr="00711D27">
        <w:rPr>
          <w:sz w:val="28"/>
          <w:szCs w:val="28"/>
          <w:shd w:val="clear" w:color="auto" w:fill="FFFFFF"/>
        </w:rPr>
        <w:t xml:space="preserve"> </w:t>
      </w:r>
      <w:proofErr w:type="gramStart"/>
      <w:r w:rsidRPr="00711D27">
        <w:rPr>
          <w:sz w:val="28"/>
          <w:szCs w:val="28"/>
          <w:shd w:val="clear" w:color="auto" w:fill="FFFFFF"/>
        </w:rPr>
        <w:t>Магистратура). — www.dx.doi.org/10.12737/textbook_5a02addd719346.49419279.</w:t>
      </w:r>
      <w:proofErr w:type="gramEnd"/>
      <w:r w:rsidRPr="00711D27">
        <w:rPr>
          <w:sz w:val="28"/>
          <w:szCs w:val="28"/>
          <w:shd w:val="clear" w:color="auto" w:fill="FFFFFF"/>
        </w:rPr>
        <w:t xml:space="preserve"> - ISBN 978-5-16-013173-3. - Текст</w:t>
      </w:r>
      <w:proofErr w:type="gramStart"/>
      <w:r w:rsidRPr="00711D27">
        <w:rPr>
          <w:sz w:val="28"/>
          <w:szCs w:val="28"/>
          <w:shd w:val="clear" w:color="auto" w:fill="FFFFFF"/>
        </w:rPr>
        <w:t xml:space="preserve"> :</w:t>
      </w:r>
      <w:proofErr w:type="gramEnd"/>
      <w:r w:rsidRPr="00711D27">
        <w:rPr>
          <w:sz w:val="28"/>
          <w:szCs w:val="28"/>
          <w:shd w:val="clear" w:color="auto" w:fill="FFFFFF"/>
        </w:rPr>
        <w:t xml:space="preserve"> электронный. - URL: https://znanium.com/catalog/product/1044680 </w:t>
      </w:r>
    </w:p>
    <w:p w:rsidR="00711D27" w:rsidRPr="00711D27" w:rsidRDefault="00711D27" w:rsidP="00711D27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711D27">
        <w:rPr>
          <w:sz w:val="28"/>
          <w:szCs w:val="28"/>
        </w:rPr>
        <w:t xml:space="preserve">Иванова, М. А. Повышение уровня правосознания граждан и популяризация антикоррупционных стандартов поведения [Электронный ресурс]: учебник </w:t>
      </w:r>
      <w:r w:rsidRPr="00711D27">
        <w:rPr>
          <w:sz w:val="28"/>
          <w:szCs w:val="28"/>
          <w:shd w:val="clear" w:color="auto" w:fill="FFFFFF" w:themeFill="background1"/>
        </w:rPr>
        <w:t>для обучающихся по образовательной программе высшего образования по направлению подготовки 40.03.01 Юриспруденция / М. А. Иванова; М-во образования и науки Рос.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Федерации,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Федер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гос. бюджет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711D27">
        <w:rPr>
          <w:sz w:val="28"/>
          <w:szCs w:val="28"/>
          <w:shd w:val="clear" w:color="auto" w:fill="FFFFFF" w:themeFill="background1"/>
        </w:rPr>
        <w:t>о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>бразоват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. учреждение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образования "Оренбург. гос. ун-т". - Электрон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т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>екстовые дан. (1 файл: 2.47 Мб). - Оренбург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ОГУ, 2017. - 513 с. -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экрана. -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6.0 - ISBN 978-5-7410-1829-3.. - № гос. регистрации 0321900300</w:t>
      </w:r>
      <w:r w:rsidRPr="00711D27">
        <w:rPr>
          <w:sz w:val="28"/>
          <w:szCs w:val="28"/>
        </w:rPr>
        <w:t xml:space="preserve">. </w:t>
      </w:r>
    </w:p>
    <w:p w:rsidR="00711D27" w:rsidRPr="00711D27" w:rsidRDefault="00711D27" w:rsidP="00711D27">
      <w:pPr>
        <w:suppressAutoHyphens/>
        <w:ind w:firstLine="709"/>
        <w:jc w:val="both"/>
        <w:rPr>
          <w:sz w:val="28"/>
          <w:szCs w:val="28"/>
        </w:rPr>
      </w:pPr>
      <w:r w:rsidRPr="00711D27">
        <w:rPr>
          <w:sz w:val="28"/>
          <w:szCs w:val="28"/>
        </w:rPr>
        <w:lastRenderedPageBreak/>
        <w:t xml:space="preserve">Иванова, М. А. Основы правовой работы [Электронный ресурс]: учебное пособие для студентов, обучающихся по программе высшего образования по направлению подготовки 40.03.01 Юриспруденция / М. А. Иванова; </w:t>
      </w:r>
      <w:proofErr w:type="gramStart"/>
      <w:r w:rsidRPr="00711D27">
        <w:rPr>
          <w:sz w:val="28"/>
          <w:szCs w:val="28"/>
        </w:rPr>
        <w:t>М-во</w:t>
      </w:r>
      <w:proofErr w:type="gramEnd"/>
      <w:r w:rsidRPr="00711D27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711D27">
        <w:rPr>
          <w:sz w:val="28"/>
          <w:szCs w:val="28"/>
        </w:rPr>
        <w:t>Федер</w:t>
      </w:r>
      <w:proofErr w:type="spellEnd"/>
      <w:r w:rsidRPr="00711D27">
        <w:rPr>
          <w:sz w:val="28"/>
          <w:szCs w:val="28"/>
        </w:rPr>
        <w:t>. гос. бюджет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spellStart"/>
      <w:proofErr w:type="gramStart"/>
      <w:r w:rsidRPr="00711D27">
        <w:rPr>
          <w:sz w:val="28"/>
          <w:szCs w:val="28"/>
        </w:rPr>
        <w:t>о</w:t>
      </w:r>
      <w:proofErr w:type="gramEnd"/>
      <w:r w:rsidRPr="00711D27">
        <w:rPr>
          <w:sz w:val="28"/>
          <w:szCs w:val="28"/>
        </w:rPr>
        <w:t>бразоват</w:t>
      </w:r>
      <w:proofErr w:type="spellEnd"/>
      <w:r w:rsidRPr="00711D27">
        <w:rPr>
          <w:sz w:val="28"/>
          <w:szCs w:val="28"/>
        </w:rPr>
        <w:t xml:space="preserve">. учреждение </w:t>
      </w:r>
      <w:proofErr w:type="spellStart"/>
      <w:r w:rsidRPr="00711D27">
        <w:rPr>
          <w:sz w:val="28"/>
          <w:szCs w:val="28"/>
        </w:rPr>
        <w:t>высш</w:t>
      </w:r>
      <w:proofErr w:type="spellEnd"/>
      <w:r w:rsidRPr="00711D27">
        <w:rPr>
          <w:sz w:val="28"/>
          <w:szCs w:val="28"/>
        </w:rPr>
        <w:t>. образования "Оренбург. гос. ун-т". -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т</w:t>
      </w:r>
      <w:proofErr w:type="gramEnd"/>
      <w:r w:rsidRPr="00711D27">
        <w:rPr>
          <w:sz w:val="28"/>
          <w:szCs w:val="28"/>
        </w:rPr>
        <w:t>екстовые дан. (1 файл: 2.80 Мб). - Оренбург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ОГУ, 2016. - 428 с. - </w:t>
      </w:r>
      <w:proofErr w:type="spellStart"/>
      <w:r w:rsidRPr="00711D27">
        <w:rPr>
          <w:sz w:val="28"/>
          <w:szCs w:val="28"/>
        </w:rPr>
        <w:t>Загл</w:t>
      </w:r>
      <w:proofErr w:type="spellEnd"/>
      <w:r w:rsidRPr="00711D27">
        <w:rPr>
          <w:sz w:val="28"/>
          <w:szCs w:val="28"/>
        </w:rPr>
        <w:t xml:space="preserve">. с </w:t>
      </w:r>
      <w:proofErr w:type="spellStart"/>
      <w:r w:rsidRPr="00711D27">
        <w:rPr>
          <w:sz w:val="28"/>
          <w:szCs w:val="28"/>
        </w:rPr>
        <w:t>тит</w:t>
      </w:r>
      <w:proofErr w:type="spellEnd"/>
      <w:r w:rsidRPr="00711D27">
        <w:rPr>
          <w:sz w:val="28"/>
          <w:szCs w:val="28"/>
        </w:rPr>
        <w:t>. экрана. -</w:t>
      </w:r>
      <w:proofErr w:type="spellStart"/>
      <w:r w:rsidRPr="00711D27">
        <w:rPr>
          <w:sz w:val="28"/>
          <w:szCs w:val="28"/>
        </w:rPr>
        <w:t>Adobe</w:t>
      </w:r>
      <w:proofErr w:type="spellEnd"/>
      <w:r w:rsidRPr="00711D27">
        <w:rPr>
          <w:sz w:val="28"/>
          <w:szCs w:val="28"/>
        </w:rPr>
        <w:t xml:space="preserve"> </w:t>
      </w:r>
      <w:proofErr w:type="spellStart"/>
      <w:r w:rsidRPr="00711D27">
        <w:rPr>
          <w:sz w:val="28"/>
          <w:szCs w:val="28"/>
        </w:rPr>
        <w:t>Acrobat</w:t>
      </w:r>
      <w:proofErr w:type="spellEnd"/>
      <w:r w:rsidRPr="00711D27">
        <w:rPr>
          <w:sz w:val="28"/>
          <w:szCs w:val="28"/>
        </w:rPr>
        <w:t xml:space="preserve"> </w:t>
      </w:r>
      <w:proofErr w:type="spellStart"/>
      <w:r w:rsidRPr="00711D27">
        <w:rPr>
          <w:sz w:val="28"/>
          <w:szCs w:val="28"/>
        </w:rPr>
        <w:t>Reader</w:t>
      </w:r>
      <w:proofErr w:type="spellEnd"/>
      <w:r w:rsidRPr="00711D27">
        <w:rPr>
          <w:sz w:val="28"/>
          <w:szCs w:val="28"/>
        </w:rPr>
        <w:t xml:space="preserve"> 6.0 - ISBN 978-5-7410-1591-9.. - № гос. регистрации 0321900301</w:t>
      </w:r>
    </w:p>
    <w:p w:rsidR="00711D27" w:rsidRPr="00711D27" w:rsidRDefault="00711D27" w:rsidP="00711D27">
      <w:pPr>
        <w:widowControl w:val="0"/>
        <w:suppressAutoHyphens/>
        <w:ind w:firstLine="709"/>
        <w:jc w:val="both"/>
        <w:outlineLvl w:val="1"/>
        <w:rPr>
          <w:sz w:val="28"/>
          <w:szCs w:val="28"/>
          <w:shd w:val="clear" w:color="auto" w:fill="FFF9DB"/>
        </w:rPr>
      </w:pPr>
      <w:r w:rsidRPr="00711D27">
        <w:rPr>
          <w:sz w:val="28"/>
          <w:szCs w:val="28"/>
        </w:rPr>
        <w:t xml:space="preserve">Иванова, М. А. </w:t>
      </w:r>
      <w:r w:rsidRPr="00711D27">
        <w:rPr>
          <w:bCs/>
          <w:sz w:val="28"/>
          <w:szCs w:val="28"/>
          <w:shd w:val="clear" w:color="auto" w:fill="FFFFFF" w:themeFill="background1"/>
        </w:rPr>
        <w:t>Правовые акты органов управления</w:t>
      </w:r>
      <w:r w:rsidRPr="00711D27">
        <w:rPr>
          <w:sz w:val="28"/>
          <w:szCs w:val="28"/>
          <w:shd w:val="clear" w:color="auto" w:fill="FFFFFF" w:themeFill="background1"/>
        </w:rPr>
        <w:t> [Электронный ресурс]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 :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учебное пособие для обучающихся по образовательной программе высшего образования по направлению подготовки 40.03.01 Юриспруденция / М. А. Иванова; М-во науки и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Федер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гос. бюджет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711D27">
        <w:rPr>
          <w:sz w:val="28"/>
          <w:szCs w:val="28"/>
          <w:shd w:val="clear" w:color="auto" w:fill="FFFFFF" w:themeFill="background1"/>
        </w:rPr>
        <w:t>о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>бразоват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. учреждение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образования "Оренбург. гос. ун-т". - Электрон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>т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екстовые дан. (1 файл: 19803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Kб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). - Оренбург</w:t>
      </w:r>
      <w:proofErr w:type="gramStart"/>
      <w:r w:rsidRPr="00711D27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711D27">
        <w:rPr>
          <w:sz w:val="28"/>
          <w:szCs w:val="28"/>
          <w:shd w:val="clear" w:color="auto" w:fill="FFFFFF" w:themeFill="background1"/>
        </w:rPr>
        <w:t xml:space="preserve"> ОГУ, 2018. - 128 с. -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>. экрана. -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11D27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711D27">
        <w:rPr>
          <w:sz w:val="28"/>
          <w:szCs w:val="28"/>
          <w:shd w:val="clear" w:color="auto" w:fill="FFFFFF" w:themeFill="background1"/>
        </w:rPr>
        <w:t xml:space="preserve"> 7.0 - ISBN 978-5-7410-2124-8.. - № гос. регистрации 0321900299</w:t>
      </w:r>
      <w:r w:rsidRPr="00711D27">
        <w:rPr>
          <w:sz w:val="28"/>
          <w:szCs w:val="28"/>
          <w:shd w:val="clear" w:color="auto" w:fill="FFF9DB"/>
        </w:rPr>
        <w:t>.</w:t>
      </w:r>
    </w:p>
    <w:p w:rsidR="00711D27" w:rsidRPr="00711D27" w:rsidRDefault="00711D27" w:rsidP="00711D27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711D27" w:rsidRPr="00711D27" w:rsidRDefault="00711D27" w:rsidP="00711D27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711D27">
        <w:rPr>
          <w:b/>
          <w:sz w:val="28"/>
          <w:szCs w:val="28"/>
        </w:rPr>
        <w:t xml:space="preserve">4.2  Нормативные правовые акты </w:t>
      </w:r>
    </w:p>
    <w:p w:rsidR="00711D27" w:rsidRPr="00711D27" w:rsidRDefault="00711D27" w:rsidP="00711D27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>Конституция Российской Федерации [Электронный ресурс]: принята всенародным голосованием 12 декабря 1993 г. с изменениями, одобренными входе общероссийского голосования 01.07.2020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с учетом поправок, внесенных </w:t>
      </w:r>
      <w:proofErr w:type="spellStart"/>
      <w:r w:rsidRPr="00711D27">
        <w:rPr>
          <w:sz w:val="28"/>
          <w:szCs w:val="28"/>
        </w:rPr>
        <w:t>фед</w:t>
      </w:r>
      <w:proofErr w:type="spellEnd"/>
      <w:r w:rsidRPr="00711D27">
        <w:rPr>
          <w:sz w:val="28"/>
          <w:szCs w:val="28"/>
        </w:rPr>
        <w:t xml:space="preserve">. </w:t>
      </w:r>
      <w:proofErr w:type="spellStart"/>
      <w:r w:rsidRPr="00711D27">
        <w:rPr>
          <w:sz w:val="28"/>
          <w:szCs w:val="28"/>
        </w:rPr>
        <w:t>конст</w:t>
      </w:r>
      <w:proofErr w:type="spellEnd"/>
      <w:r w:rsidRPr="00711D27">
        <w:rPr>
          <w:sz w:val="28"/>
          <w:szCs w:val="28"/>
        </w:rPr>
        <w:t xml:space="preserve">. законами от 30.12.2008 № 6-ФКЗ, 30.12.2008 № 7-ФКЗ, от 05.02.2014 № 2-ФКЗ, от 21.07.2014 № 11-ФКЗ // </w:t>
      </w:r>
      <w:proofErr w:type="spellStart"/>
      <w:r w:rsidRPr="00711D27">
        <w:rPr>
          <w:sz w:val="28"/>
          <w:szCs w:val="28"/>
        </w:rPr>
        <w:t>КонсультантПлюс</w:t>
      </w:r>
      <w:proofErr w:type="spellEnd"/>
      <w:r w:rsidRPr="00711D27">
        <w:rPr>
          <w:sz w:val="28"/>
          <w:szCs w:val="28"/>
        </w:rPr>
        <w:t xml:space="preserve">: справочная правовая система / </w:t>
      </w:r>
      <w:proofErr w:type="spellStart"/>
      <w:r w:rsidRPr="00711D27">
        <w:rPr>
          <w:sz w:val="28"/>
          <w:szCs w:val="28"/>
        </w:rPr>
        <w:t>разраб</w:t>
      </w:r>
      <w:proofErr w:type="spellEnd"/>
      <w:r w:rsidRPr="00711D27">
        <w:rPr>
          <w:sz w:val="28"/>
          <w:szCs w:val="28"/>
        </w:rPr>
        <w:t>. НПО "</w:t>
      </w:r>
      <w:proofErr w:type="spellStart"/>
      <w:r w:rsidRPr="00711D27">
        <w:rPr>
          <w:sz w:val="28"/>
          <w:szCs w:val="28"/>
        </w:rPr>
        <w:t>Вычисл</w:t>
      </w:r>
      <w:proofErr w:type="spellEnd"/>
      <w:r w:rsidRPr="00711D27">
        <w:rPr>
          <w:sz w:val="28"/>
          <w:szCs w:val="28"/>
        </w:rPr>
        <w:t xml:space="preserve">. математика и информатика". – Москва: Консультант Плюс, 1997-2021. – Режим доступа: </w:t>
      </w:r>
      <w:hyperlink r:id="rId12" w:history="1">
        <w:r w:rsidRPr="00711D27">
          <w:rPr>
            <w:rStyle w:val="ab"/>
            <w:sz w:val="28"/>
            <w:szCs w:val="28"/>
          </w:rPr>
          <w:t>http://www.consultant.ru</w:t>
        </w:r>
      </w:hyperlink>
      <w:r w:rsidRPr="00711D27">
        <w:rPr>
          <w:sz w:val="28"/>
          <w:szCs w:val="28"/>
        </w:rPr>
        <w:t xml:space="preserve">. 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 xml:space="preserve">О статусе члена Совета Федерации и статусе депутата Государственной Думы Федерального Собрания Российской Федерации [Электронный ресурс]: </w:t>
      </w:r>
      <w:proofErr w:type="spellStart"/>
      <w:r w:rsidRPr="00711D27">
        <w:rPr>
          <w:sz w:val="28"/>
          <w:szCs w:val="28"/>
        </w:rPr>
        <w:t>федер</w:t>
      </w:r>
      <w:proofErr w:type="spellEnd"/>
      <w:r w:rsidRPr="00711D27">
        <w:rPr>
          <w:sz w:val="28"/>
          <w:szCs w:val="28"/>
        </w:rPr>
        <w:t xml:space="preserve">. закон от 08 мая 1994 г. №3-ФЗ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711D27">
        <w:rPr>
          <w:sz w:val="28"/>
          <w:szCs w:val="28"/>
        </w:rPr>
        <w:t xml:space="preserve">Об общих принципах организации законодательных (представительных) и исполнительных органов государственной власти субъектов Российской Федерации [Электронный ресурс]: </w:t>
      </w:r>
      <w:proofErr w:type="spellStart"/>
      <w:r w:rsidRPr="00711D27">
        <w:rPr>
          <w:sz w:val="28"/>
          <w:szCs w:val="28"/>
        </w:rPr>
        <w:t>федер</w:t>
      </w:r>
      <w:proofErr w:type="spellEnd"/>
      <w:r w:rsidRPr="00711D27">
        <w:rPr>
          <w:sz w:val="28"/>
          <w:szCs w:val="28"/>
        </w:rPr>
        <w:t xml:space="preserve">. закон от 6 октября 1999 г. № 184-ФЗ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 xml:space="preserve">О политических партиях [Электронный ресурс]: </w:t>
      </w:r>
      <w:proofErr w:type="spellStart"/>
      <w:r w:rsidRPr="00711D27">
        <w:rPr>
          <w:sz w:val="28"/>
          <w:szCs w:val="28"/>
        </w:rPr>
        <w:t>федер</w:t>
      </w:r>
      <w:proofErr w:type="spellEnd"/>
      <w:r w:rsidRPr="00711D27">
        <w:rPr>
          <w:sz w:val="28"/>
          <w:szCs w:val="28"/>
        </w:rPr>
        <w:t xml:space="preserve">. закон от 11 июля 2001 г. № 95-ФЗ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 xml:space="preserve">О порядке формирования Совета Федерации Федерального Собрания </w:t>
      </w:r>
      <w:r w:rsidRPr="00711D27">
        <w:rPr>
          <w:sz w:val="28"/>
          <w:szCs w:val="28"/>
        </w:rPr>
        <w:lastRenderedPageBreak/>
        <w:t xml:space="preserve">Российской Федерации [Электронный ресурс]: </w:t>
      </w:r>
      <w:proofErr w:type="spellStart"/>
      <w:r w:rsidRPr="00711D27">
        <w:rPr>
          <w:sz w:val="28"/>
          <w:szCs w:val="28"/>
        </w:rPr>
        <w:t>федер</w:t>
      </w:r>
      <w:proofErr w:type="spellEnd"/>
      <w:r w:rsidRPr="00711D27">
        <w:rPr>
          <w:sz w:val="28"/>
          <w:szCs w:val="28"/>
        </w:rPr>
        <w:t>. закон от 22 декабря 2020 г. № 439-ФЗ // 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 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>Об утверждении положения о порядке взаимодействия Президента Российской Федерации с палатами Федерального Собрания Российской Федерации в законотворческом процессе [Электронный ресурс]: указ Президента</w:t>
      </w:r>
      <w:proofErr w:type="gramStart"/>
      <w:r w:rsidRPr="00711D27">
        <w:rPr>
          <w:sz w:val="28"/>
          <w:szCs w:val="28"/>
        </w:rPr>
        <w:t xml:space="preserve"> Р</w:t>
      </w:r>
      <w:proofErr w:type="gramEnd"/>
      <w:r w:rsidRPr="00711D27">
        <w:rPr>
          <w:sz w:val="28"/>
          <w:szCs w:val="28"/>
        </w:rPr>
        <w:t xml:space="preserve">ос. Федерации  от 13 апреля 1996 г. № 549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 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>О создании информационно-аналитического управления Аппарата Совета Федерации Федерального Собрания Российской Федерации [Электронный ресурс]: постановление Совета Федерации Федерального  Собрания</w:t>
      </w:r>
      <w:proofErr w:type="gramStart"/>
      <w:r w:rsidRPr="00711D27">
        <w:rPr>
          <w:sz w:val="28"/>
          <w:szCs w:val="28"/>
        </w:rPr>
        <w:t xml:space="preserve"> Р</w:t>
      </w:r>
      <w:proofErr w:type="gramEnd"/>
      <w:r w:rsidRPr="00711D27">
        <w:rPr>
          <w:sz w:val="28"/>
          <w:szCs w:val="28"/>
        </w:rPr>
        <w:t xml:space="preserve">ос. Федерации от 26 декабря 1996 г.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 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711D27">
        <w:rPr>
          <w:sz w:val="28"/>
          <w:szCs w:val="28"/>
        </w:rPr>
        <w:t>О регламенте Государственной Думы Федерального Собрания Российской Федерации [Электронный ресурс]: постановление Государственной Думы Федерального Собрания</w:t>
      </w:r>
      <w:proofErr w:type="gramStart"/>
      <w:r w:rsidRPr="00711D27">
        <w:rPr>
          <w:sz w:val="28"/>
          <w:szCs w:val="28"/>
        </w:rPr>
        <w:t xml:space="preserve"> Р</w:t>
      </w:r>
      <w:proofErr w:type="gramEnd"/>
      <w:r w:rsidRPr="00711D27">
        <w:rPr>
          <w:sz w:val="28"/>
          <w:szCs w:val="28"/>
        </w:rPr>
        <w:t xml:space="preserve">ос. Федерации от 22 января 1998 г. № 2134-II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sz w:val="28"/>
          <w:szCs w:val="28"/>
        </w:rPr>
        <w:t xml:space="preserve">Об утверждении положения о постоянном представителе Государственной Думы Федерального Собрания Российской Федерации в Конституционном Суде Российской Федерации [Электронный ресурс]: постановление </w:t>
      </w:r>
      <w:r w:rsidRPr="00711D27">
        <w:rPr>
          <w:rFonts w:eastAsia="ArialMT"/>
          <w:sz w:val="28"/>
          <w:szCs w:val="28"/>
        </w:rPr>
        <w:t>Гос. Думы Федерального Собрания</w:t>
      </w:r>
      <w:proofErr w:type="gramStart"/>
      <w:r w:rsidRPr="00711D27">
        <w:rPr>
          <w:rFonts w:eastAsia="ArialMT"/>
          <w:sz w:val="28"/>
          <w:szCs w:val="28"/>
        </w:rPr>
        <w:t xml:space="preserve"> Р</w:t>
      </w:r>
      <w:proofErr w:type="gramEnd"/>
      <w:r w:rsidRPr="00711D27">
        <w:rPr>
          <w:rFonts w:eastAsia="ArialMT"/>
          <w:sz w:val="28"/>
          <w:szCs w:val="28"/>
        </w:rPr>
        <w:t>ос. Федерации</w:t>
      </w:r>
      <w:r w:rsidRPr="00711D27">
        <w:rPr>
          <w:sz w:val="28"/>
          <w:szCs w:val="28"/>
        </w:rPr>
        <w:t xml:space="preserve"> от 16 июля 1998г. № 2834-</w:t>
      </w:r>
      <w:r w:rsidRPr="00711D27">
        <w:rPr>
          <w:sz w:val="28"/>
          <w:szCs w:val="28"/>
          <w:lang w:val="en-US"/>
        </w:rPr>
        <w:t>II</w:t>
      </w:r>
      <w:r w:rsidRPr="00711D27">
        <w:rPr>
          <w:sz w:val="28"/>
          <w:szCs w:val="28"/>
        </w:rPr>
        <w:t xml:space="preserve"> 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 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711D27">
        <w:rPr>
          <w:sz w:val="28"/>
          <w:szCs w:val="28"/>
        </w:rPr>
        <w:t>О регламенте Совета Федерации Федерального Собрания Российской Федерации [Электронный ресурс]:  Постановление Совета Федерации Федерального Собрания</w:t>
      </w:r>
      <w:proofErr w:type="gramStart"/>
      <w:r w:rsidRPr="00711D27">
        <w:rPr>
          <w:sz w:val="28"/>
          <w:szCs w:val="28"/>
        </w:rPr>
        <w:t xml:space="preserve"> Р</w:t>
      </w:r>
      <w:proofErr w:type="gramEnd"/>
      <w:r w:rsidRPr="00711D27">
        <w:rPr>
          <w:sz w:val="28"/>
          <w:szCs w:val="28"/>
        </w:rPr>
        <w:t xml:space="preserve">ос. Федерации от 30 января 2002 г.  № 33-СФ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711D27">
        <w:rPr>
          <w:sz w:val="28"/>
          <w:szCs w:val="28"/>
        </w:rPr>
        <w:t>О</w:t>
      </w:r>
      <w:r w:rsidRPr="00711D27">
        <w:rPr>
          <w:rFonts w:eastAsia="ArialMT"/>
          <w:sz w:val="28"/>
          <w:szCs w:val="28"/>
        </w:rPr>
        <w:t xml:space="preserve"> комиссии Правительства Российской Федерации по законопроектной деятельности </w:t>
      </w:r>
      <w:r w:rsidRPr="00711D27">
        <w:rPr>
          <w:sz w:val="28"/>
          <w:szCs w:val="28"/>
        </w:rPr>
        <w:t>[Электронный ресурс]</w:t>
      </w:r>
      <w:r w:rsidRPr="00711D27">
        <w:rPr>
          <w:rFonts w:eastAsia="ArialMT"/>
          <w:sz w:val="28"/>
          <w:szCs w:val="28"/>
        </w:rPr>
        <w:t>: постановление Правительства</w:t>
      </w:r>
      <w:proofErr w:type="gramStart"/>
      <w:r w:rsidRPr="00711D27">
        <w:rPr>
          <w:rFonts w:eastAsia="ArialMT"/>
          <w:sz w:val="28"/>
          <w:szCs w:val="28"/>
        </w:rPr>
        <w:t xml:space="preserve"> Р</w:t>
      </w:r>
      <w:proofErr w:type="gramEnd"/>
      <w:r w:rsidRPr="00711D27">
        <w:rPr>
          <w:rFonts w:eastAsia="ArialMT"/>
          <w:sz w:val="28"/>
          <w:szCs w:val="28"/>
        </w:rPr>
        <w:t xml:space="preserve">ос. Федерации от 01 февраля 2000г. № 93 </w:t>
      </w:r>
      <w:r w:rsidRPr="00711D27">
        <w:rPr>
          <w:rFonts w:eastAsia="Arial-BoldMT"/>
          <w:sz w:val="28"/>
          <w:szCs w:val="28"/>
        </w:rPr>
        <w:t xml:space="preserve">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P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711D27">
        <w:rPr>
          <w:rFonts w:eastAsia="ArialMT"/>
          <w:sz w:val="28"/>
          <w:szCs w:val="28"/>
        </w:rPr>
        <w:t xml:space="preserve">О полномочных представителях Правительства Российской Федерации в палатах Федерального Собрания Российской Федерации </w:t>
      </w:r>
      <w:r w:rsidRPr="00711D27">
        <w:rPr>
          <w:sz w:val="28"/>
          <w:szCs w:val="28"/>
        </w:rPr>
        <w:lastRenderedPageBreak/>
        <w:t>[Электронный ресурс]</w:t>
      </w:r>
      <w:r w:rsidRPr="00711D27">
        <w:rPr>
          <w:rFonts w:eastAsia="ArialMT"/>
          <w:sz w:val="28"/>
          <w:szCs w:val="28"/>
        </w:rPr>
        <w:t>: постановление Правительства</w:t>
      </w:r>
      <w:proofErr w:type="gramStart"/>
      <w:r w:rsidRPr="00711D27">
        <w:rPr>
          <w:rFonts w:eastAsia="ArialMT"/>
          <w:sz w:val="28"/>
          <w:szCs w:val="28"/>
        </w:rPr>
        <w:t xml:space="preserve"> Р</w:t>
      </w:r>
      <w:proofErr w:type="gramEnd"/>
      <w:r w:rsidRPr="00711D27">
        <w:rPr>
          <w:rFonts w:eastAsia="ArialMT"/>
          <w:sz w:val="28"/>
          <w:szCs w:val="28"/>
        </w:rPr>
        <w:t xml:space="preserve">ос. Федерации от 01 февраля 2000 г. № 94 // </w:t>
      </w:r>
      <w:r w:rsidRPr="00711D27">
        <w:rPr>
          <w:sz w:val="28"/>
          <w:szCs w:val="28"/>
        </w:rPr>
        <w:t>Консультант Плюс</w:t>
      </w:r>
      <w:proofErr w:type="gramStart"/>
      <w:r w:rsidRPr="00711D27">
        <w:rPr>
          <w:sz w:val="28"/>
          <w:szCs w:val="28"/>
        </w:rPr>
        <w:t xml:space="preserve">  :</w:t>
      </w:r>
      <w:proofErr w:type="gramEnd"/>
      <w:r w:rsidRPr="00711D27">
        <w:rPr>
          <w:sz w:val="28"/>
          <w:szCs w:val="28"/>
        </w:rPr>
        <w:t xml:space="preserve"> справочно-правовая система / </w:t>
      </w:r>
      <w:r w:rsidRPr="00711D27">
        <w:rPr>
          <w:color w:val="000000"/>
          <w:spacing w:val="2"/>
          <w:sz w:val="28"/>
          <w:szCs w:val="28"/>
        </w:rPr>
        <w:t>Компания Консультант Плюс.</w:t>
      </w:r>
      <w:r w:rsidRPr="00711D27">
        <w:rPr>
          <w:sz w:val="28"/>
          <w:szCs w:val="28"/>
        </w:rPr>
        <w:t xml:space="preserve"> – Электрон</w:t>
      </w:r>
      <w:proofErr w:type="gramStart"/>
      <w:r w:rsidRPr="00711D27">
        <w:rPr>
          <w:sz w:val="28"/>
          <w:szCs w:val="28"/>
        </w:rPr>
        <w:t>.</w:t>
      </w:r>
      <w:proofErr w:type="gramEnd"/>
      <w:r w:rsidRPr="00711D27">
        <w:rPr>
          <w:sz w:val="28"/>
          <w:szCs w:val="28"/>
        </w:rPr>
        <w:t xml:space="preserve"> </w:t>
      </w:r>
      <w:proofErr w:type="gramStart"/>
      <w:r w:rsidRPr="00711D27">
        <w:rPr>
          <w:sz w:val="28"/>
          <w:szCs w:val="28"/>
        </w:rPr>
        <w:t>д</w:t>
      </w:r>
      <w:proofErr w:type="gramEnd"/>
      <w:r w:rsidRPr="00711D27">
        <w:rPr>
          <w:sz w:val="28"/>
          <w:szCs w:val="28"/>
        </w:rPr>
        <w:t>ан. – Москва, [</w:t>
      </w:r>
      <w:r w:rsidRPr="00711D27">
        <w:rPr>
          <w:color w:val="000000"/>
          <w:spacing w:val="2"/>
          <w:sz w:val="28"/>
          <w:szCs w:val="28"/>
        </w:rPr>
        <w:t>1992</w:t>
      </w:r>
      <w:r w:rsidRPr="00711D27">
        <w:rPr>
          <w:sz w:val="28"/>
          <w:szCs w:val="28"/>
        </w:rPr>
        <w:t>–2021]. – Режим доступа</w:t>
      </w:r>
      <w:proofErr w:type="gramStart"/>
      <w:r w:rsidRPr="00711D27">
        <w:rPr>
          <w:sz w:val="28"/>
          <w:szCs w:val="28"/>
        </w:rPr>
        <w:t xml:space="preserve"> :</w:t>
      </w:r>
      <w:proofErr w:type="gramEnd"/>
      <w:r w:rsidRPr="00711D27">
        <w:rPr>
          <w:sz w:val="28"/>
          <w:szCs w:val="28"/>
        </w:rPr>
        <w:t xml:space="preserve"> в локальной сети ОГУ \\fileserver1\!CONSULT\cons.exe</w:t>
      </w:r>
    </w:p>
    <w:p w:rsidR="00711D27" w:rsidRDefault="00711D27" w:rsidP="00711D27">
      <w:pPr>
        <w:widowControl w:val="0"/>
        <w:tabs>
          <w:tab w:val="left" w:pos="1276"/>
        </w:tabs>
        <w:ind w:firstLine="851"/>
        <w:jc w:val="both"/>
        <w:rPr>
          <w:rFonts w:eastAsia="Arial-BoldMT"/>
        </w:rPr>
      </w:pPr>
    </w:p>
    <w:p w:rsidR="005F344F" w:rsidRPr="00CE49C3" w:rsidRDefault="005F344F" w:rsidP="00711D27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5F344F" w:rsidRPr="00CE49C3" w:rsidSect="007D78B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AD" w:rsidRDefault="005838AD" w:rsidP="00E01DB3">
      <w:r>
        <w:separator/>
      </w:r>
    </w:p>
  </w:endnote>
  <w:endnote w:type="continuationSeparator" w:id="0">
    <w:p w:rsidR="005838AD" w:rsidRDefault="005838A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AA2">
          <w:rPr>
            <w:noProof/>
          </w:rPr>
          <w:t>7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AD" w:rsidRDefault="005838AD" w:rsidP="00E01DB3">
      <w:r>
        <w:separator/>
      </w:r>
    </w:p>
  </w:footnote>
  <w:footnote w:type="continuationSeparator" w:id="0">
    <w:p w:rsidR="005838AD" w:rsidRDefault="005838A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52F4"/>
    <w:multiLevelType w:val="hybridMultilevel"/>
    <w:tmpl w:val="362A7B7E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1D2E37"/>
    <w:multiLevelType w:val="hybridMultilevel"/>
    <w:tmpl w:val="3C9CC03C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2016F9"/>
    <w:multiLevelType w:val="hybridMultilevel"/>
    <w:tmpl w:val="FEC446EE"/>
    <w:lvl w:ilvl="0" w:tplc="80BC50E8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42815"/>
    <w:rsid w:val="0004678F"/>
    <w:rsid w:val="00061F57"/>
    <w:rsid w:val="00084223"/>
    <w:rsid w:val="000A23DC"/>
    <w:rsid w:val="000A5C24"/>
    <w:rsid w:val="000C0F95"/>
    <w:rsid w:val="000D40E4"/>
    <w:rsid w:val="000D45ED"/>
    <w:rsid w:val="001155D9"/>
    <w:rsid w:val="00147B1A"/>
    <w:rsid w:val="00162F4B"/>
    <w:rsid w:val="00181537"/>
    <w:rsid w:val="001857D9"/>
    <w:rsid w:val="001B54DF"/>
    <w:rsid w:val="001D7B4F"/>
    <w:rsid w:val="001E338B"/>
    <w:rsid w:val="001E3C09"/>
    <w:rsid w:val="001F6342"/>
    <w:rsid w:val="00290B10"/>
    <w:rsid w:val="002E77D9"/>
    <w:rsid w:val="002F58F5"/>
    <w:rsid w:val="0030456E"/>
    <w:rsid w:val="00341690"/>
    <w:rsid w:val="00397517"/>
    <w:rsid w:val="003C485C"/>
    <w:rsid w:val="0040005F"/>
    <w:rsid w:val="004067C0"/>
    <w:rsid w:val="004269E2"/>
    <w:rsid w:val="00437213"/>
    <w:rsid w:val="00491396"/>
    <w:rsid w:val="004C65E6"/>
    <w:rsid w:val="00582395"/>
    <w:rsid w:val="005838AD"/>
    <w:rsid w:val="0058799F"/>
    <w:rsid w:val="005D288F"/>
    <w:rsid w:val="005F299A"/>
    <w:rsid w:val="005F344F"/>
    <w:rsid w:val="00627D48"/>
    <w:rsid w:val="006419C2"/>
    <w:rsid w:val="00677441"/>
    <w:rsid w:val="00691AB7"/>
    <w:rsid w:val="006A5E81"/>
    <w:rsid w:val="006B1049"/>
    <w:rsid w:val="00711D27"/>
    <w:rsid w:val="00777AA2"/>
    <w:rsid w:val="00793F25"/>
    <w:rsid w:val="007D78B0"/>
    <w:rsid w:val="007F0A60"/>
    <w:rsid w:val="007F135B"/>
    <w:rsid w:val="008123AD"/>
    <w:rsid w:val="0081741C"/>
    <w:rsid w:val="008264D4"/>
    <w:rsid w:val="008328FE"/>
    <w:rsid w:val="00835E42"/>
    <w:rsid w:val="008471D9"/>
    <w:rsid w:val="00853E71"/>
    <w:rsid w:val="008554AD"/>
    <w:rsid w:val="008961C4"/>
    <w:rsid w:val="008B3F23"/>
    <w:rsid w:val="008C5C58"/>
    <w:rsid w:val="008D121F"/>
    <w:rsid w:val="00927D0B"/>
    <w:rsid w:val="00943F2B"/>
    <w:rsid w:val="009B3CFA"/>
    <w:rsid w:val="009C585F"/>
    <w:rsid w:val="009D023A"/>
    <w:rsid w:val="00A07AC7"/>
    <w:rsid w:val="00A22803"/>
    <w:rsid w:val="00A230C9"/>
    <w:rsid w:val="00A7142F"/>
    <w:rsid w:val="00A9605B"/>
    <w:rsid w:val="00B25115"/>
    <w:rsid w:val="00B345B6"/>
    <w:rsid w:val="00B36429"/>
    <w:rsid w:val="00B4354E"/>
    <w:rsid w:val="00BB0E7A"/>
    <w:rsid w:val="00C05062"/>
    <w:rsid w:val="00C20FA5"/>
    <w:rsid w:val="00C25187"/>
    <w:rsid w:val="00C2679D"/>
    <w:rsid w:val="00C303B0"/>
    <w:rsid w:val="00C523DB"/>
    <w:rsid w:val="00C55BC6"/>
    <w:rsid w:val="00C67F8D"/>
    <w:rsid w:val="00C82C4A"/>
    <w:rsid w:val="00C91879"/>
    <w:rsid w:val="00CC13BF"/>
    <w:rsid w:val="00CD0125"/>
    <w:rsid w:val="00CE49C3"/>
    <w:rsid w:val="00CE4CE1"/>
    <w:rsid w:val="00D03AC2"/>
    <w:rsid w:val="00D10ACA"/>
    <w:rsid w:val="00D223C8"/>
    <w:rsid w:val="00D533CD"/>
    <w:rsid w:val="00D90FC4"/>
    <w:rsid w:val="00D950CD"/>
    <w:rsid w:val="00DF3556"/>
    <w:rsid w:val="00E01DB3"/>
    <w:rsid w:val="00E365EE"/>
    <w:rsid w:val="00E46C3C"/>
    <w:rsid w:val="00E838D3"/>
    <w:rsid w:val="00E95EBE"/>
    <w:rsid w:val="00E97EEF"/>
    <w:rsid w:val="00EA308A"/>
    <w:rsid w:val="00EA3A0A"/>
    <w:rsid w:val="00EB586C"/>
    <w:rsid w:val="00EC1E3B"/>
    <w:rsid w:val="00ED4EC2"/>
    <w:rsid w:val="00F07CAC"/>
    <w:rsid w:val="00F47FE8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19136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0808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0439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03D75-892D-41F2-B431-C4EFDE92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10</cp:revision>
  <cp:lastPrinted>2019-03-14T06:31:00Z</cp:lastPrinted>
  <dcterms:created xsi:type="dcterms:W3CDTF">2019-10-28T06:28:00Z</dcterms:created>
  <dcterms:modified xsi:type="dcterms:W3CDTF">2021-07-09T09:57:00Z</dcterms:modified>
</cp:coreProperties>
</file>