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proofErr w:type="spellStart"/>
      <w:r w:rsidRPr="00294BD3">
        <w:rPr>
          <w:rFonts w:eastAsia="Calibri" w:cs="Times New Roman"/>
          <w:sz w:val="24"/>
        </w:rPr>
        <w:t>Минобрнауки</w:t>
      </w:r>
      <w:proofErr w:type="spellEnd"/>
      <w:r w:rsidRPr="00294BD3">
        <w:rPr>
          <w:rFonts w:eastAsia="Calibri" w:cs="Times New Roman"/>
          <w:sz w:val="24"/>
        </w:rPr>
        <w:t xml:space="preserve"> России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 xml:space="preserve">Методические указания для </w:t>
      </w:r>
      <w:proofErr w:type="gramStart"/>
      <w:r w:rsidRPr="00294BD3">
        <w:rPr>
          <w:rFonts w:eastAsia="Calibri" w:cs="Times New Roman"/>
          <w:szCs w:val="28"/>
        </w:rPr>
        <w:t>обучающихся</w:t>
      </w:r>
      <w:proofErr w:type="gramEnd"/>
      <w:r w:rsidRPr="00294BD3">
        <w:rPr>
          <w:rFonts w:eastAsia="Calibri" w:cs="Times New Roman"/>
          <w:szCs w:val="28"/>
        </w:rPr>
        <w:t xml:space="preserve">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0B5705">
        <w:rPr>
          <w:i/>
          <w:sz w:val="24"/>
        </w:rPr>
        <w:t>Б</w:t>
      </w:r>
      <w:proofErr w:type="gramStart"/>
      <w:r w:rsidR="000B5705">
        <w:rPr>
          <w:i/>
          <w:sz w:val="24"/>
        </w:rPr>
        <w:t>1</w:t>
      </w:r>
      <w:proofErr w:type="gramEnd"/>
      <w:r w:rsidR="000B5705">
        <w:rPr>
          <w:i/>
          <w:sz w:val="24"/>
        </w:rPr>
        <w:t>.Д.Б.36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0B5705" w:rsidRDefault="000B5705" w:rsidP="000B57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B5705" w:rsidRDefault="000B5705" w:rsidP="000B570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B5705" w:rsidRDefault="000B5705" w:rsidP="000B570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B5705" w:rsidRDefault="000B5705" w:rsidP="000B57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B5705" w:rsidRDefault="000B5705" w:rsidP="000B57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B5705" w:rsidRDefault="000B5705" w:rsidP="000B57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0B5705" w:rsidRDefault="000B5705" w:rsidP="000B570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B5705" w:rsidRDefault="000B5705" w:rsidP="000B5705">
      <w:pPr>
        <w:pStyle w:val="ReportHead"/>
        <w:suppressAutoHyphens/>
        <w:rPr>
          <w:sz w:val="24"/>
        </w:rPr>
      </w:pPr>
    </w:p>
    <w:p w:rsidR="000B5705" w:rsidRDefault="000B5705" w:rsidP="000B570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B5705" w:rsidRDefault="000B5705" w:rsidP="000B57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B5705" w:rsidRDefault="000B5705" w:rsidP="000B570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B5705" w:rsidRDefault="000B5705" w:rsidP="000B570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0B5705" w:rsidRDefault="000B5705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0B5705" w:rsidRDefault="000B5705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0B5705" w:rsidRDefault="000B5705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0B5705" w:rsidRPr="00294BD3" w:rsidRDefault="000B5705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CE6B54">
        <w:rPr>
          <w:rFonts w:eastAsia="Calibri" w:cs="Times New Roman"/>
          <w:sz w:val="24"/>
          <w:szCs w:val="24"/>
        </w:rPr>
        <w:t>1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 xml:space="preserve">Составитель _____________________ И. А. </w:t>
      </w:r>
      <w:proofErr w:type="spellStart"/>
      <w:r w:rsidRPr="00294BD3">
        <w:rPr>
          <w:rFonts w:eastAsia="Calibri" w:cs="Times New Roman"/>
          <w:sz w:val="24"/>
          <w:szCs w:val="24"/>
        </w:rPr>
        <w:t>Кулантаева</w:t>
      </w:r>
      <w:proofErr w:type="spellEnd"/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:rsidR="008F2F55" w:rsidRPr="00D111DF" w:rsidRDefault="008F2F55" w:rsidP="008F2F55">
      <w:pPr>
        <w:ind w:firstLine="567"/>
        <w:jc w:val="center"/>
        <w:rPr>
          <w:szCs w:val="28"/>
        </w:rPr>
      </w:pPr>
    </w:p>
    <w:p w:rsidR="008F2F55" w:rsidRDefault="008F2F55" w:rsidP="008F2F55">
      <w:pPr>
        <w:ind w:firstLine="567"/>
        <w:jc w:val="center"/>
        <w:rPr>
          <w:szCs w:val="28"/>
        </w:rPr>
      </w:pPr>
    </w:p>
    <w:p w:rsidR="001648A7" w:rsidRDefault="001648A7" w:rsidP="008F2F55">
      <w:pPr>
        <w:pStyle w:val="ReportHead"/>
        <w:suppressAutoHyphens/>
        <w:rPr>
          <w:szCs w:val="28"/>
        </w:rPr>
      </w:pPr>
    </w:p>
    <w:p w:rsidR="008F2F55" w:rsidRPr="008F2F55" w:rsidRDefault="008F2F55" w:rsidP="008F2F55">
      <w:pPr>
        <w:pStyle w:val="ReportHead"/>
        <w:suppressAutoHyphens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Default="00367DEE" w:rsidP="008F2F55">
      <w:pPr>
        <w:ind w:firstLine="567"/>
        <w:rPr>
          <w:szCs w:val="28"/>
        </w:rPr>
      </w:pPr>
    </w:p>
    <w:p w:rsidR="00367DEE" w:rsidRPr="00D111DF" w:rsidRDefault="00367DEE" w:rsidP="008F2F55">
      <w:pPr>
        <w:ind w:firstLine="567"/>
        <w:rPr>
          <w:szCs w:val="28"/>
        </w:rPr>
      </w:pPr>
    </w:p>
    <w:p w:rsidR="008F2F55" w:rsidRPr="00D111DF" w:rsidRDefault="008F2F55" w:rsidP="008F2F55">
      <w:pPr>
        <w:ind w:firstLine="567"/>
        <w:rPr>
          <w:szCs w:val="28"/>
        </w:rPr>
      </w:pPr>
    </w:p>
    <w:p w:rsidR="008F2F55" w:rsidRDefault="008F2F55" w:rsidP="008F2F55">
      <w:pPr>
        <w:ind w:firstLine="567"/>
        <w:rPr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712357" w:rsidRDefault="00712357" w:rsidP="00712357">
      <w:pPr>
        <w:rPr>
          <w:snapToGrid w:val="0"/>
          <w:szCs w:val="28"/>
        </w:rPr>
      </w:pPr>
    </w:p>
    <w:p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:rsidR="000B5705" w:rsidRPr="00B7551E" w:rsidRDefault="000B5705" w:rsidP="000B5705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>
              <w:rPr>
                <w:rStyle w:val="a3"/>
                <w:noProof/>
              </w:rPr>
              <w:t>4</w:t>
            </w:r>
            <w:r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>
              <w:rPr>
                <w:rStyle w:val="a3"/>
                <w:noProof/>
              </w:rPr>
              <w:t>5</w:t>
            </w:r>
            <w:r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>
              <w:rPr>
                <w:rStyle w:val="a3"/>
                <w:noProof/>
              </w:rPr>
              <w:t>6</w:t>
            </w:r>
            <w:r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>
              <w:rPr>
                <w:rStyle w:val="a3"/>
                <w:noProof/>
              </w:rPr>
              <w:t>6</w:t>
            </w:r>
            <w:r w:rsidRPr="005D23DA">
              <w:rPr>
                <w:rStyle w:val="a3"/>
                <w:noProof/>
              </w:rPr>
              <w:t>.1 Подготовка к рубежным контролям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Default="000B5705" w:rsidP="000B570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>
              <w:rPr>
                <w:rStyle w:val="a3"/>
                <w:noProof/>
              </w:rPr>
              <w:t>6</w:t>
            </w:r>
            <w:r w:rsidRPr="005D23DA">
              <w:rPr>
                <w:rStyle w:val="a3"/>
                <w:noProof/>
              </w:rPr>
              <w:t>.2 Подготовка к зачету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705" w:rsidRPr="00B7551E" w:rsidRDefault="000B5705" w:rsidP="000B570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:rsidR="000B5705" w:rsidRPr="00B7551E" w:rsidRDefault="000B5705" w:rsidP="000B5705">
      <w:pPr>
        <w:jc w:val="center"/>
        <w:rPr>
          <w:szCs w:val="28"/>
        </w:rPr>
      </w:pPr>
    </w:p>
    <w:p w:rsidR="000B5705" w:rsidRPr="00B7551E" w:rsidRDefault="000B5705" w:rsidP="000B5705">
      <w:pPr>
        <w:jc w:val="center"/>
        <w:rPr>
          <w:szCs w:val="28"/>
        </w:rPr>
      </w:pPr>
    </w:p>
    <w:p w:rsidR="000B5705" w:rsidRDefault="000B5705" w:rsidP="000B570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  <w:bookmarkStart w:id="0" w:name="_GoBack"/>
      <w:bookmarkEnd w:id="0"/>
    </w:p>
    <w:p w:rsidR="000B5705" w:rsidRPr="007C7B47" w:rsidRDefault="000B5705" w:rsidP="000B5705">
      <w:pPr>
        <w:pStyle w:val="1"/>
      </w:pPr>
      <w:bookmarkStart w:id="1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:rsidR="000B5705" w:rsidRPr="007C7B47" w:rsidRDefault="000B5705" w:rsidP="000B5705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0B5705" w:rsidRPr="00173A72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:rsidR="000B5705" w:rsidRPr="00173A72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0B5705" w:rsidRPr="00173A72" w:rsidRDefault="000B5705" w:rsidP="000B5705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>с базовыми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B5705" w:rsidRPr="006C56B0" w:rsidRDefault="000B5705" w:rsidP="000B5705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0B5705" w:rsidRPr="007C7B47" w:rsidRDefault="000B5705" w:rsidP="000B5705">
      <w:pPr>
        <w:pStyle w:val="1"/>
      </w:pPr>
      <w:bookmarkStart w:id="2" w:name="_Toc9345625"/>
      <w:r w:rsidRPr="006C56B0">
        <w:t xml:space="preserve">2 </w:t>
      </w:r>
      <w:r>
        <w:t>Общие р</w:t>
      </w:r>
      <w:r w:rsidRPr="007C7B47">
        <w:t>екомендации по работе студентов с конспектом лекций</w:t>
      </w:r>
      <w:bookmarkEnd w:id="2"/>
      <w:r w:rsidRPr="007C7B47">
        <w:t xml:space="preserve"> </w:t>
      </w:r>
    </w:p>
    <w:p w:rsidR="000B5705" w:rsidRPr="007C7B47" w:rsidRDefault="000B5705" w:rsidP="000B5705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0B5705" w:rsidRPr="007C7B47" w:rsidRDefault="000B5705" w:rsidP="000B5705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0B5705" w:rsidRPr="007C7B47" w:rsidRDefault="000B5705" w:rsidP="000B5705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0B5705" w:rsidRPr="007C7B47" w:rsidRDefault="000B5705" w:rsidP="000B5705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0B5705" w:rsidRPr="007C7B47" w:rsidRDefault="000B5705" w:rsidP="000B5705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0B5705" w:rsidRDefault="000B5705" w:rsidP="000B570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B5705" w:rsidRDefault="000B5705" w:rsidP="000B5705">
      <w:pPr>
        <w:pStyle w:val="1"/>
      </w:pPr>
      <w:bookmarkStart w:id="3" w:name="_Toc9345626"/>
      <w:r>
        <w:t>3</w:t>
      </w:r>
      <w:r w:rsidRPr="00CA74C8">
        <w:t xml:space="preserve"> </w:t>
      </w:r>
      <w:r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3"/>
    </w:p>
    <w:p w:rsidR="000B5705" w:rsidRDefault="000B5705" w:rsidP="000B5705">
      <w:pPr>
        <w:ind w:firstLine="568"/>
        <w:rPr>
          <w:color w:val="000000"/>
        </w:rPr>
      </w:pPr>
    </w:p>
    <w:p w:rsidR="000B5705" w:rsidRPr="00E455E9" w:rsidRDefault="000B5705" w:rsidP="000B5705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0B5705" w:rsidRPr="00E455E9" w:rsidRDefault="000B5705" w:rsidP="000B5705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0B5705" w:rsidRPr="00E455E9" w:rsidRDefault="000B5705" w:rsidP="000B5705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E455E9">
        <w:rPr>
          <w:sz w:val="24"/>
          <w:szCs w:val="24"/>
        </w:rPr>
        <w:t>обучающихся</w:t>
      </w:r>
      <w:proofErr w:type="gramEnd"/>
      <w:r w:rsidRPr="00E455E9">
        <w:rPr>
          <w:sz w:val="24"/>
          <w:szCs w:val="24"/>
        </w:rPr>
        <w:t>.</w:t>
      </w:r>
    </w:p>
    <w:p w:rsidR="000B5705" w:rsidRPr="00E455E9" w:rsidRDefault="000B5705" w:rsidP="000B5705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0B5705" w:rsidRPr="00E455E9" w:rsidRDefault="000B5705" w:rsidP="000B5705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0B5705" w:rsidRPr="00E455E9" w:rsidRDefault="000B5705" w:rsidP="000B5705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:rsidR="000B5705" w:rsidRPr="00E455E9" w:rsidRDefault="000B5705" w:rsidP="000B5705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0B5705" w:rsidRDefault="000B5705" w:rsidP="000B5705"/>
    <w:p w:rsidR="000B5705" w:rsidRPr="007C7B47" w:rsidRDefault="000B5705" w:rsidP="000B5705">
      <w:pPr>
        <w:pStyle w:val="1"/>
      </w:pPr>
      <w:bookmarkStart w:id="4" w:name="_Toc9345627"/>
      <w:r>
        <w:t>4</w:t>
      </w:r>
      <w:r w:rsidRPr="00A64A14">
        <w:t xml:space="preserve"> </w:t>
      </w:r>
      <w:bookmarkStart w:id="5" w:name="_Toc9345628"/>
      <w:bookmarkEnd w:id="4"/>
      <w:r w:rsidRPr="007C7B47">
        <w:t xml:space="preserve">Общие рекомендации по организации </w:t>
      </w:r>
      <w:r w:rsidRPr="006C56B0">
        <w:t xml:space="preserve">самостоятельной </w:t>
      </w:r>
      <w:r w:rsidRPr="007C7B47">
        <w:t>работы студентов</w:t>
      </w:r>
      <w:bookmarkEnd w:id="5"/>
      <w:r w:rsidRPr="007C7B47">
        <w:t xml:space="preserve"> </w:t>
      </w:r>
    </w:p>
    <w:p w:rsidR="000B5705" w:rsidRPr="007C7B47" w:rsidRDefault="000B5705" w:rsidP="000B5705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0B5705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0B5705" w:rsidRPr="007C7B47" w:rsidRDefault="000B5705" w:rsidP="000B5705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выполнение научной работы, участие в научных исследованиях, проводимых в рамках студенческого научного общества.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  <w:proofErr w:type="gramEnd"/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0B5705" w:rsidRPr="006C56B0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Освоение компьютерных информационно-правовых баз данных;</w:t>
      </w:r>
      <w:proofErr w:type="gramEnd"/>
    </w:p>
    <w:p w:rsidR="000B5705" w:rsidRPr="007C7B47" w:rsidRDefault="000B5705" w:rsidP="000B5705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0B5705" w:rsidRPr="007C7B47" w:rsidRDefault="000B5705" w:rsidP="000B5705">
      <w:pPr>
        <w:rPr>
          <w:rFonts w:eastAsia="Times New Roman" w:cs="Times New Roman"/>
          <w:sz w:val="24"/>
          <w:szCs w:val="24"/>
          <w:lang w:eastAsia="ru-RU"/>
        </w:rPr>
      </w:pPr>
    </w:p>
    <w:p w:rsidR="000B5705" w:rsidRPr="00A64A14" w:rsidRDefault="000B5705" w:rsidP="000B5705">
      <w:pPr>
        <w:pStyle w:val="1"/>
      </w:pPr>
      <w:bookmarkStart w:id="6" w:name="_Toc512340196"/>
      <w:bookmarkStart w:id="7" w:name="_Toc9345629"/>
      <w:r>
        <w:rPr>
          <w:lang w:val="ru-RU"/>
        </w:rPr>
        <w:t>5</w:t>
      </w:r>
      <w:r w:rsidRPr="00A64A14">
        <w:t xml:space="preserve"> </w:t>
      </w:r>
      <w:r>
        <w:t>Общие р</w:t>
      </w:r>
      <w:r w:rsidRPr="00A64A14">
        <w:t>екомендации по выполнению реферата или устного сообщения</w:t>
      </w:r>
      <w:bookmarkEnd w:id="6"/>
      <w:bookmarkEnd w:id="7"/>
      <w:r w:rsidRPr="00A64A14">
        <w:t xml:space="preserve">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0B5705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0B5705" w:rsidRPr="00A64A14" w:rsidRDefault="000B5705" w:rsidP="000B5705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0B5705" w:rsidRPr="009E0A99" w:rsidRDefault="000B5705" w:rsidP="000B5705">
      <w:pPr>
        <w:pStyle w:val="1"/>
      </w:pPr>
      <w:bookmarkStart w:id="8" w:name="_Toc6130229"/>
      <w:bookmarkStart w:id="9" w:name="_Toc9345630"/>
      <w:r>
        <w:rPr>
          <w:lang w:val="ru-RU"/>
        </w:rPr>
        <w:t>6</w:t>
      </w:r>
      <w:r w:rsidRPr="009E0A99">
        <w:t xml:space="preserve"> Методические указания по промежуточной аттестации</w:t>
      </w:r>
      <w:bookmarkEnd w:id="8"/>
      <w:bookmarkEnd w:id="9"/>
    </w:p>
    <w:p w:rsidR="000B5705" w:rsidRDefault="000B5705" w:rsidP="000B5705">
      <w:pPr>
        <w:pStyle w:val="2"/>
        <w:ind w:firstLine="709"/>
      </w:pPr>
      <w:bookmarkStart w:id="10" w:name="_Toc6130230"/>
      <w:bookmarkStart w:id="11" w:name="_Toc9345631"/>
      <w:r>
        <w:t>6</w:t>
      </w:r>
      <w:r w:rsidRPr="009E0A99">
        <w:t>.1 Подготовка к рубежным контролям</w:t>
      </w:r>
      <w:bookmarkEnd w:id="10"/>
      <w:bookmarkEnd w:id="11"/>
    </w:p>
    <w:p w:rsidR="000B5705" w:rsidRPr="009E0A99" w:rsidRDefault="000B5705" w:rsidP="000B5705"/>
    <w:p w:rsidR="000B5705" w:rsidRPr="009E0A99" w:rsidRDefault="000B5705" w:rsidP="000B5705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:rsidR="000B5705" w:rsidRPr="009E0A99" w:rsidRDefault="000B5705" w:rsidP="000B5705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0B5705" w:rsidRPr="009E0A99" w:rsidRDefault="000B5705" w:rsidP="000B5705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:rsidR="000B5705" w:rsidRPr="009E0A99" w:rsidRDefault="000B5705" w:rsidP="000B5705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>
        <w:rPr>
          <w:color w:val="000000"/>
          <w:sz w:val="24"/>
          <w:szCs w:val="24"/>
        </w:rPr>
        <w:t>.</w:t>
      </w:r>
    </w:p>
    <w:p w:rsidR="000B5705" w:rsidRPr="009E0A99" w:rsidRDefault="000B5705" w:rsidP="000B5705">
      <w:pPr>
        <w:ind w:firstLine="720"/>
        <w:rPr>
          <w:sz w:val="24"/>
          <w:szCs w:val="24"/>
        </w:rPr>
      </w:pPr>
    </w:p>
    <w:p w:rsidR="000B5705" w:rsidRPr="009E0A99" w:rsidRDefault="000B5705" w:rsidP="000B5705">
      <w:pPr>
        <w:pStyle w:val="2"/>
        <w:ind w:firstLine="709"/>
      </w:pPr>
      <w:bookmarkStart w:id="12" w:name="_Toc6130231"/>
      <w:bookmarkStart w:id="13" w:name="_Toc9345632"/>
      <w:r>
        <w:t>6</w:t>
      </w:r>
      <w:r w:rsidRPr="009E0A99">
        <w:t>.2 Подготовка к зачету</w:t>
      </w:r>
      <w:bookmarkEnd w:id="12"/>
      <w:bookmarkEnd w:id="13"/>
    </w:p>
    <w:p w:rsidR="000B5705" w:rsidRPr="009E0A99" w:rsidRDefault="000B5705" w:rsidP="000B5705"/>
    <w:p w:rsidR="000B5705" w:rsidRPr="009E0A99" w:rsidRDefault="000B5705" w:rsidP="000B5705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:rsidR="000B5705" w:rsidRPr="009E0A99" w:rsidRDefault="000B5705" w:rsidP="000B5705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0B5705" w:rsidRPr="009E0A99" w:rsidRDefault="000B5705" w:rsidP="000B5705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:rsidR="000B5705" w:rsidRPr="009E0A99" w:rsidRDefault="000B5705" w:rsidP="000B5705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>
        <w:rPr>
          <w:color w:val="000000"/>
          <w:sz w:val="24"/>
          <w:szCs w:val="24"/>
        </w:rPr>
        <w:t>.</w:t>
      </w: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p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14" w:rsidRDefault="00F86F14" w:rsidP="00305E26">
      <w:r>
        <w:separator/>
      </w:r>
    </w:p>
  </w:endnote>
  <w:endnote w:type="continuationSeparator" w:id="0">
    <w:p w:rsidR="00F86F14" w:rsidRDefault="00F86F14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305E26" w:rsidRDefault="00305E2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705">
          <w:rPr>
            <w:noProof/>
          </w:rPr>
          <w:t>3</w:t>
        </w:r>
        <w:r>
          <w:fldChar w:fldCharType="end"/>
        </w:r>
      </w:p>
    </w:sdtContent>
  </w:sdt>
  <w:p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14" w:rsidRDefault="00F86F14" w:rsidP="00305E26">
      <w:r>
        <w:separator/>
      </w:r>
    </w:p>
  </w:footnote>
  <w:footnote w:type="continuationSeparator" w:id="0">
    <w:p w:rsidR="00F86F14" w:rsidRDefault="00F86F14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76D23"/>
    <w:rsid w:val="000B5705"/>
    <w:rsid w:val="000D36E5"/>
    <w:rsid w:val="000F1C89"/>
    <w:rsid w:val="001648A7"/>
    <w:rsid w:val="00173A72"/>
    <w:rsid w:val="00186F09"/>
    <w:rsid w:val="001D5354"/>
    <w:rsid w:val="002249B7"/>
    <w:rsid w:val="00294BD3"/>
    <w:rsid w:val="002C34F1"/>
    <w:rsid w:val="00305E26"/>
    <w:rsid w:val="00365931"/>
    <w:rsid w:val="00367DEE"/>
    <w:rsid w:val="003A6DB4"/>
    <w:rsid w:val="00485FF3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4A14"/>
    <w:rsid w:val="00A948ED"/>
    <w:rsid w:val="00AA3493"/>
    <w:rsid w:val="00B878E7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13F1"/>
    <w:rsid w:val="00F86F14"/>
    <w:rsid w:val="00FA6C0A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Teacher</cp:lastModifiedBy>
  <cp:revision>7</cp:revision>
  <cp:lastPrinted>2021-04-14T09:28:00Z</cp:lastPrinted>
  <dcterms:created xsi:type="dcterms:W3CDTF">2020-09-03T08:47:00Z</dcterms:created>
  <dcterms:modified xsi:type="dcterms:W3CDTF">2021-04-14T09:29:00Z</dcterms:modified>
</cp:coreProperties>
</file>