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6C1047" w:rsidRDefault="006C1047" w:rsidP="004269E2">
      <w:pPr>
        <w:autoSpaceDE w:val="0"/>
        <w:autoSpaceDN w:val="0"/>
        <w:adjustRightInd w:val="0"/>
        <w:jc w:val="center"/>
        <w:rPr>
          <w:rFonts w:ascii="TimesNewRomanPSMT" w:hAnsi="TimesNewRomanPSMT" w:cs="TimesNewRomanPSMT"/>
          <w:sz w:val="32"/>
          <w:szCs w:val="32"/>
        </w:rPr>
      </w:pPr>
    </w:p>
    <w:p w:rsidR="006C1047" w:rsidRDefault="004269E2" w:rsidP="006C1047">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6C1047">
        <w:rPr>
          <w:rFonts w:ascii="TimesNewRomanPSMT" w:hAnsi="TimesNewRomanPSMT" w:cs="TimesNewRomanPSMT"/>
          <w:sz w:val="28"/>
          <w:szCs w:val="28"/>
        </w:rPr>
        <w:t>ческой теории, региональной и отраслевой экономики</w:t>
      </w:r>
    </w:p>
    <w:p w:rsidR="006C1047" w:rsidRDefault="006C1047" w:rsidP="006C1047">
      <w:pPr>
        <w:autoSpaceDE w:val="0"/>
        <w:autoSpaceDN w:val="0"/>
        <w:adjustRightInd w:val="0"/>
        <w:jc w:val="center"/>
        <w:rPr>
          <w:rFonts w:ascii="TimesNewRomanPSMT" w:hAnsi="TimesNewRomanPSMT" w:cs="TimesNewRomanPSMT"/>
          <w:sz w:val="28"/>
          <w:szCs w:val="28"/>
        </w:rPr>
      </w:pPr>
    </w:p>
    <w:p w:rsidR="00E01DB3" w:rsidRPr="006C1047" w:rsidRDefault="004269E2" w:rsidP="006C1047">
      <w:pPr>
        <w:autoSpaceDE w:val="0"/>
        <w:autoSpaceDN w:val="0"/>
        <w:adjustRightInd w:val="0"/>
        <w:jc w:val="center"/>
        <w:rPr>
          <w:rFonts w:ascii="TimesNewRomanPSMT" w:hAnsi="TimesNewRomanPSMT" w:cs="TimesNewRomanPSMT"/>
          <w:b/>
          <w:sz w:val="28"/>
          <w:szCs w:val="28"/>
        </w:rPr>
      </w:pPr>
      <w:r w:rsidRPr="006C1047">
        <w:rPr>
          <w:rFonts w:ascii="TimesNewRomanPSMT" w:hAnsi="TimesNewRomanPSMT" w:cs="TimesNewRomanPSMT"/>
          <w:b/>
          <w:sz w:val="28"/>
          <w:szCs w:val="28"/>
        </w:rPr>
        <w:t xml:space="preserve">Методические </w:t>
      </w:r>
      <w:r w:rsidR="00491396" w:rsidRPr="006C1047">
        <w:rPr>
          <w:rFonts w:ascii="TimesNewRomanPSMT" w:hAnsi="TimesNewRomanPSMT" w:cs="TimesNewRomanPSMT"/>
          <w:b/>
          <w:sz w:val="28"/>
          <w:szCs w:val="28"/>
        </w:rPr>
        <w:t>указания</w:t>
      </w:r>
      <w:r w:rsidRPr="006C1047">
        <w:rPr>
          <w:rFonts w:ascii="TimesNewRomanPSMT" w:hAnsi="TimesNewRomanPSMT" w:cs="TimesNewRomanPSMT"/>
          <w:b/>
          <w:sz w:val="28"/>
          <w:szCs w:val="28"/>
        </w:rPr>
        <w:t xml:space="preserve"> </w:t>
      </w:r>
      <w:r w:rsidR="00691AB7" w:rsidRPr="006C1047">
        <w:rPr>
          <w:rFonts w:ascii="TimesNewRomanPSMT" w:hAnsi="TimesNewRomanPSMT" w:cs="TimesNewRomanPSMT"/>
          <w:b/>
          <w:sz w:val="28"/>
          <w:szCs w:val="28"/>
        </w:rPr>
        <w:t xml:space="preserve">для </w:t>
      </w:r>
      <w:proofErr w:type="gramStart"/>
      <w:r w:rsidR="00691AB7" w:rsidRPr="006C1047">
        <w:rPr>
          <w:rFonts w:ascii="TimesNewRomanPSMT" w:hAnsi="TimesNewRomanPSMT" w:cs="TimesNewRomanPSMT"/>
          <w:b/>
          <w:sz w:val="28"/>
          <w:szCs w:val="28"/>
        </w:rPr>
        <w:t>обучающихся</w:t>
      </w:r>
      <w:proofErr w:type="gramEnd"/>
      <w:r w:rsidRPr="006C1047">
        <w:rPr>
          <w:rFonts w:ascii="TimesNewRomanPSMT" w:hAnsi="TimesNewRomanPSMT" w:cs="TimesNewRomanPSMT"/>
          <w:b/>
          <w:sz w:val="28"/>
          <w:szCs w:val="28"/>
        </w:rPr>
        <w:t xml:space="preserve"> </w:t>
      </w:r>
      <w:r w:rsidR="00F23D67" w:rsidRPr="006C1047">
        <w:rPr>
          <w:rFonts w:ascii="TimesNewRomanPSMT" w:hAnsi="TimesNewRomanPSMT" w:cs="TimesNewRomanPSMT"/>
          <w:b/>
          <w:sz w:val="28"/>
          <w:szCs w:val="28"/>
        </w:rPr>
        <w:t>п</w:t>
      </w:r>
      <w:r w:rsidRPr="006C1047">
        <w:rPr>
          <w:rFonts w:ascii="TimesNewRomanPSMT" w:hAnsi="TimesNewRomanPSMT" w:cs="TimesNewRomanPSMT"/>
          <w:b/>
          <w:sz w:val="28"/>
          <w:szCs w:val="28"/>
        </w:rPr>
        <w:t xml:space="preserve">о освоению дисциплины </w:t>
      </w:r>
    </w:p>
    <w:p w:rsidR="00F45330" w:rsidRPr="00F45330" w:rsidRDefault="00F45330" w:rsidP="00F45330">
      <w:pPr>
        <w:pStyle w:val="ReportHead"/>
        <w:suppressAutoHyphens/>
        <w:spacing w:before="120"/>
        <w:rPr>
          <w:i/>
          <w:szCs w:val="28"/>
        </w:rPr>
      </w:pPr>
      <w:r>
        <w:rPr>
          <w:i/>
          <w:sz w:val="24"/>
        </w:rPr>
        <w:t xml:space="preserve"> </w:t>
      </w:r>
    </w:p>
    <w:p w:rsidR="007851CC" w:rsidRDefault="007851CC" w:rsidP="007851CC">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C13103" w:rsidRDefault="00C13103" w:rsidP="007851CC">
      <w:pPr>
        <w:pStyle w:val="ReportHead"/>
        <w:suppressAutoHyphens/>
        <w:spacing w:before="120"/>
        <w:jc w:val="left"/>
        <w:rPr>
          <w:i/>
          <w:sz w:val="24"/>
        </w:rPr>
      </w:pPr>
    </w:p>
    <w:p w:rsidR="00C13103" w:rsidRDefault="00C13103" w:rsidP="00C13103">
      <w:pPr>
        <w:pStyle w:val="ReportHead"/>
        <w:suppressAutoHyphens/>
        <w:rPr>
          <w:sz w:val="24"/>
        </w:rPr>
      </w:pP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Уровень высшего образования</w:t>
      </w: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БАКАЛАВРИАТ</w:t>
      </w: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Направление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07.03.01 Архитектура</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(код и наименование направления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Общий профиль</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 xml:space="preserve"> (наименование направленности (профиля) образовательной программы)</w:t>
      </w:r>
    </w:p>
    <w:p w:rsidR="007C456F" w:rsidRPr="00D2765A" w:rsidRDefault="007C456F" w:rsidP="007C456F">
      <w:pPr>
        <w:suppressAutoHyphens/>
        <w:jc w:val="center"/>
        <w:rPr>
          <w:rFonts w:eastAsiaTheme="minorHAnsi"/>
          <w:szCs w:val="22"/>
          <w:lang w:eastAsia="en-US"/>
        </w:rPr>
      </w:pP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Квалификация</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Бакалавр</w:t>
      </w:r>
    </w:p>
    <w:p w:rsidR="007C456F" w:rsidRPr="00D2765A" w:rsidRDefault="007C456F" w:rsidP="007C456F">
      <w:pPr>
        <w:suppressAutoHyphens/>
        <w:spacing w:before="120"/>
        <w:jc w:val="center"/>
        <w:rPr>
          <w:rFonts w:eastAsiaTheme="minorHAnsi"/>
          <w:sz w:val="28"/>
          <w:szCs w:val="22"/>
          <w:lang w:eastAsia="en-US"/>
        </w:rPr>
      </w:pPr>
      <w:r w:rsidRPr="00D2765A">
        <w:rPr>
          <w:rFonts w:eastAsiaTheme="minorHAnsi"/>
          <w:sz w:val="28"/>
          <w:szCs w:val="22"/>
          <w:lang w:eastAsia="en-US"/>
        </w:rPr>
        <w:t>Форма обучения</w:t>
      </w:r>
    </w:p>
    <w:p w:rsidR="007C456F" w:rsidRPr="00D2765A" w:rsidRDefault="007C456F" w:rsidP="007C456F">
      <w:pPr>
        <w:suppressAutoHyphens/>
        <w:jc w:val="center"/>
        <w:rPr>
          <w:rFonts w:eastAsiaTheme="minorHAnsi"/>
          <w:i/>
          <w:szCs w:val="22"/>
          <w:u w:val="single"/>
          <w:lang w:eastAsia="en-US"/>
        </w:rPr>
      </w:pPr>
      <w:r w:rsidRPr="00D2765A">
        <w:rPr>
          <w:rFonts w:eastAsiaTheme="minorHAnsi"/>
          <w:i/>
          <w:szCs w:val="22"/>
          <w:u w:val="single"/>
          <w:lang w:eastAsia="en-US"/>
        </w:rPr>
        <w:t>Очная</w:t>
      </w:r>
    </w:p>
    <w:p w:rsidR="007C456F" w:rsidRPr="00D2765A" w:rsidRDefault="007C456F" w:rsidP="007C456F">
      <w:pPr>
        <w:suppressAutoHyphens/>
        <w:jc w:val="center"/>
        <w:rPr>
          <w:rFonts w:eastAsiaTheme="minorHAnsi"/>
          <w:sz w:val="28"/>
          <w:szCs w:val="22"/>
          <w:lang w:eastAsia="en-US"/>
        </w:rPr>
      </w:pPr>
    </w:p>
    <w:p w:rsidR="007C456F" w:rsidRPr="00D2765A" w:rsidRDefault="007C456F" w:rsidP="007C456F">
      <w:pPr>
        <w:suppressAutoHyphens/>
        <w:jc w:val="center"/>
        <w:rPr>
          <w:rFonts w:eastAsiaTheme="minorHAnsi"/>
          <w:sz w:val="28"/>
          <w:szCs w:val="22"/>
          <w:lang w:eastAsia="en-US"/>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260840"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202</w:t>
      </w:r>
      <w:r w:rsidR="00CA391B">
        <w:rPr>
          <w:sz w:val="24"/>
        </w:rPr>
        <w:t>0</w:t>
      </w:r>
      <w:bookmarkStart w:id="0" w:name="_GoBack"/>
      <w:bookmarkEnd w:id="0"/>
    </w:p>
    <w:p w:rsidR="00260840" w:rsidRPr="004269E2" w:rsidRDefault="00260840" w:rsidP="00260840">
      <w:pPr>
        <w:spacing w:after="200" w:line="276" w:lineRule="auto"/>
        <w:jc w:val="both"/>
        <w:rPr>
          <w:rFonts w:eastAsia="Calibri"/>
          <w:sz w:val="28"/>
          <w:szCs w:val="28"/>
          <w:lang w:eastAsia="en-US"/>
        </w:rPr>
      </w:pPr>
      <w:bookmarkStart w:id="1" w:name="BookmarkTestIsMustDelChr13"/>
      <w:bookmarkEnd w:id="1"/>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Зуева Е.Г.</w:t>
      </w:r>
    </w:p>
    <w:p w:rsidR="00260840" w:rsidRPr="004269E2" w:rsidRDefault="00260840" w:rsidP="00260840">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6C1047"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6C1047">
        <w:rPr>
          <w:rFonts w:eastAsia="Calibri"/>
          <w:sz w:val="28"/>
          <w:szCs w:val="28"/>
          <w:lang w:eastAsia="en-US"/>
        </w:rPr>
        <w:t>ческой теории, региональной и отраслевой экономики</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63AF1">
        <w:rPr>
          <w:rFonts w:eastAsia="Calibri"/>
          <w:sz w:val="28"/>
          <w:szCs w:val="28"/>
          <w:lang w:eastAsia="en-US"/>
        </w:rPr>
        <w:t>Спешилова</w:t>
      </w:r>
      <w:proofErr w:type="spellEnd"/>
      <w:r w:rsidR="00F63AF1">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w:t>
      </w:r>
      <w:r w:rsidR="000E368F">
        <w:rPr>
          <w:sz w:val="28"/>
          <w:szCs w:val="28"/>
        </w:rPr>
        <w:lastRenderedPageBreak/>
        <w:t xml:space="preserve">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w:t>
      </w:r>
      <w:r w:rsidRPr="00370E0E">
        <w:rPr>
          <w:color w:val="000000"/>
          <w:sz w:val="28"/>
          <w:szCs w:val="28"/>
        </w:rPr>
        <w:lastRenderedPageBreak/>
        <w:t>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w:t>
      </w:r>
      <w:r w:rsidRPr="005C5550">
        <w:rPr>
          <w:sz w:val="28"/>
          <w:szCs w:val="28"/>
        </w:rPr>
        <w:lastRenderedPageBreak/>
        <w:t xml:space="preserve">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xml:space="preserve">. Задача презентации – не информирование, а призыв. Выступление нацелено на то, чтобы изменить </w:t>
      </w:r>
      <w:r w:rsidRPr="005C5550">
        <w:rPr>
          <w:sz w:val="28"/>
          <w:szCs w:val="28"/>
        </w:rPr>
        <w:lastRenderedPageBreak/>
        <w:t>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lastRenderedPageBreak/>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w:t>
      </w:r>
      <w:r w:rsidRPr="00916D5E">
        <w:rPr>
          <w:sz w:val="28"/>
          <w:szCs w:val="28"/>
        </w:rPr>
        <w:lastRenderedPageBreak/>
        <w:t xml:space="preserve">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w:lastRenderedPageBreak/>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lastRenderedPageBreak/>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w:t>
      </w:r>
      <w:r w:rsidRPr="00916D5E">
        <w:rPr>
          <w:bCs/>
          <w:sz w:val="28"/>
          <w:szCs w:val="28"/>
        </w:rPr>
        <w:lastRenderedPageBreak/>
        <w:t xml:space="preserve">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w:t>
      </w:r>
      <w:r w:rsidRPr="00D6107A">
        <w:rPr>
          <w:sz w:val="28"/>
          <w:szCs w:val="28"/>
        </w:rPr>
        <w:lastRenderedPageBreak/>
        <w:t>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D6107A">
        <w:rPr>
          <w:sz w:val="28"/>
          <w:szCs w:val="28"/>
        </w:rPr>
        <w:t>благосостояния</w:t>
      </w:r>
      <w:proofErr w:type="gramEnd"/>
      <w:r w:rsidRPr="00D6107A">
        <w:rPr>
          <w:sz w:val="28"/>
          <w:szCs w:val="28"/>
        </w:rPr>
        <w:t xml:space="preserve"> как самого индивидуума, так и общества в целом. Реализуя свой интерес, </w:t>
      </w:r>
      <w:r w:rsidRPr="00D6107A">
        <w:rPr>
          <w:sz w:val="28"/>
          <w:szCs w:val="28"/>
        </w:rPr>
        <w:lastRenderedPageBreak/>
        <w:t>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lastRenderedPageBreak/>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lastRenderedPageBreak/>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B8D" w:rsidRDefault="00E16B8D" w:rsidP="00E01DB3">
      <w:r>
        <w:separator/>
      </w:r>
    </w:p>
  </w:endnote>
  <w:endnote w:type="continuationSeparator" w:id="0">
    <w:p w:rsidR="00E16B8D" w:rsidRDefault="00E16B8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B8D" w:rsidRDefault="00E16B8D" w:rsidP="00E01DB3">
      <w:r>
        <w:separator/>
      </w:r>
    </w:p>
  </w:footnote>
  <w:footnote w:type="continuationSeparator" w:id="0">
    <w:p w:rsidR="00E16B8D" w:rsidRDefault="00E16B8D"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06E3"/>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0840"/>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36F4"/>
    <w:rsid w:val="005B1779"/>
    <w:rsid w:val="005B67BD"/>
    <w:rsid w:val="006174C3"/>
    <w:rsid w:val="00622BB3"/>
    <w:rsid w:val="00622C80"/>
    <w:rsid w:val="00630492"/>
    <w:rsid w:val="00640CEC"/>
    <w:rsid w:val="0065797E"/>
    <w:rsid w:val="006860D4"/>
    <w:rsid w:val="00691AB7"/>
    <w:rsid w:val="006A2287"/>
    <w:rsid w:val="006A2F70"/>
    <w:rsid w:val="006B1049"/>
    <w:rsid w:val="006C1047"/>
    <w:rsid w:val="006C7070"/>
    <w:rsid w:val="006F1A9F"/>
    <w:rsid w:val="006F4122"/>
    <w:rsid w:val="007541A6"/>
    <w:rsid w:val="00755A2D"/>
    <w:rsid w:val="007830BE"/>
    <w:rsid w:val="007851CC"/>
    <w:rsid w:val="007B17B7"/>
    <w:rsid w:val="007C456F"/>
    <w:rsid w:val="007C58D7"/>
    <w:rsid w:val="007F0A60"/>
    <w:rsid w:val="008163CD"/>
    <w:rsid w:val="00876D16"/>
    <w:rsid w:val="00887A49"/>
    <w:rsid w:val="008B27DF"/>
    <w:rsid w:val="008C0DAE"/>
    <w:rsid w:val="008D5D03"/>
    <w:rsid w:val="008F6EA3"/>
    <w:rsid w:val="00915200"/>
    <w:rsid w:val="00952CF7"/>
    <w:rsid w:val="0097227F"/>
    <w:rsid w:val="009C31F5"/>
    <w:rsid w:val="009E3794"/>
    <w:rsid w:val="00A049E6"/>
    <w:rsid w:val="00A1072C"/>
    <w:rsid w:val="00A10BAD"/>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5187"/>
    <w:rsid w:val="00C8535B"/>
    <w:rsid w:val="00C95F45"/>
    <w:rsid w:val="00CA391B"/>
    <w:rsid w:val="00CA50CB"/>
    <w:rsid w:val="00CB382D"/>
    <w:rsid w:val="00CC13BF"/>
    <w:rsid w:val="00CD03F4"/>
    <w:rsid w:val="00CE0EFB"/>
    <w:rsid w:val="00CE2EDE"/>
    <w:rsid w:val="00D533CD"/>
    <w:rsid w:val="00D770B1"/>
    <w:rsid w:val="00D950CD"/>
    <w:rsid w:val="00DF3556"/>
    <w:rsid w:val="00E01DB3"/>
    <w:rsid w:val="00E12CF7"/>
    <w:rsid w:val="00E16B8D"/>
    <w:rsid w:val="00E373F7"/>
    <w:rsid w:val="00E97EEF"/>
    <w:rsid w:val="00EA6563"/>
    <w:rsid w:val="00EB3CEF"/>
    <w:rsid w:val="00EC3AE8"/>
    <w:rsid w:val="00F23D67"/>
    <w:rsid w:val="00F363DA"/>
    <w:rsid w:val="00F45330"/>
    <w:rsid w:val="00F45BC6"/>
    <w:rsid w:val="00F63AF1"/>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6450</Words>
  <Characters>36770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2020-01-17T08:05:00Z</cp:lastPrinted>
  <dcterms:created xsi:type="dcterms:W3CDTF">2021-05-28T16:05:00Z</dcterms:created>
  <dcterms:modified xsi:type="dcterms:W3CDTF">2021-11-06T06:32:00Z</dcterms:modified>
</cp:coreProperties>
</file>