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766CF0" w:rsidRPr="008C412B">
        <w:rPr>
          <w:i/>
          <w:sz w:val="24"/>
        </w:rPr>
        <w:t>Прокурорский надзор</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766CF0" w:rsidRPr="008C412B">
        <w:rPr>
          <w:i/>
        </w:rPr>
        <w:t>Прокурорский надзор</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8F0BE6">
        <w:pPr>
          <w:pStyle w:val="a7"/>
          <w:jc w:val="center"/>
        </w:pPr>
        <w:fldSimple w:instr=" PAGE   \* MERGEFORMAT ">
          <w:r w:rsidR="00766CF0">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66CF0"/>
    <w:rsid w:val="007A08B2"/>
    <w:rsid w:val="007B473E"/>
    <w:rsid w:val="007E4715"/>
    <w:rsid w:val="007F0A60"/>
    <w:rsid w:val="008123AD"/>
    <w:rsid w:val="0083491F"/>
    <w:rsid w:val="00835C38"/>
    <w:rsid w:val="0084282E"/>
    <w:rsid w:val="00845944"/>
    <w:rsid w:val="00884BDA"/>
    <w:rsid w:val="00894548"/>
    <w:rsid w:val="008B75C4"/>
    <w:rsid w:val="008C55C4"/>
    <w:rsid w:val="008D121F"/>
    <w:rsid w:val="008D2D7B"/>
    <w:rsid w:val="008E5EFE"/>
    <w:rsid w:val="008F0BE6"/>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434AB-C1E1-4D06-813E-673DB9B56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10910</Words>
  <Characters>62192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2022-04-22T19:27:00Z</dcterms:created>
  <dcterms:modified xsi:type="dcterms:W3CDTF">2022-04-22T19:27:00Z</dcterms:modified>
</cp:coreProperties>
</file>