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C5" w:rsidRPr="00F62B9B" w:rsidRDefault="006B67C5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F62B9B">
        <w:rPr>
          <w:rFonts w:ascii="Times New Roman" w:hAnsi="Times New Roman"/>
          <w:b/>
          <w:bCs/>
          <w:i/>
          <w:iCs/>
        </w:rPr>
        <w:t>На правах рукописи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Минобрнауки России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высшего образования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F62B9B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1526A4" w:rsidRPr="008D14E3" w:rsidRDefault="008D14E3" w:rsidP="001526A4">
      <w:pPr>
        <w:pStyle w:val="ReportHead"/>
        <w:suppressAutoHyphens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</w:rPr>
        <w:t>Кафедра экономики и организации производства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2B9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B67C5" w:rsidRPr="008D14E3" w:rsidRDefault="008D14E3" w:rsidP="00DE4DD2">
      <w:pPr>
        <w:pStyle w:val="ReportHead"/>
        <w:suppressAutoHyphens/>
        <w:spacing w:before="120"/>
        <w:rPr>
          <w:rFonts w:ascii="Times New Roman" w:hAnsi="Times New Roman"/>
          <w:i/>
          <w:iCs/>
        </w:rPr>
      </w:pPr>
      <w:bookmarkStart w:id="0" w:name="BookmarkWhereDelChr13"/>
      <w:bookmarkEnd w:id="0"/>
      <w:r w:rsidRPr="008D14E3">
        <w:rPr>
          <w:rFonts w:ascii="Times New Roman" w:hAnsi="Times New Roman"/>
          <w:i/>
        </w:rPr>
        <w:t>«Б1.Д.Б.26 Экономика и организация архитектурно-дизайнерского проектирования и строительства»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БАКАЛАВРИАТ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Направление подготовки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07.03.03 Дизайн архитектурной среды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Квалификация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Форма обучения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Pr="00770CE2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  <w:szCs w:val="24"/>
        </w:rPr>
        <w:t>Год набора 20</w:t>
      </w:r>
      <w:r w:rsidR="00E750F4">
        <w:rPr>
          <w:rFonts w:ascii="Times New Roman" w:hAnsi="Times New Roman" w:cs="Times New Roman"/>
          <w:sz w:val="24"/>
          <w:szCs w:val="24"/>
        </w:rPr>
        <w:t>2</w:t>
      </w:r>
      <w:r w:rsidR="000023BF">
        <w:rPr>
          <w:rFonts w:ascii="Times New Roman" w:hAnsi="Times New Roman" w:cs="Times New Roman"/>
          <w:sz w:val="24"/>
          <w:szCs w:val="24"/>
        </w:rPr>
        <w:t>2</w:t>
      </w:r>
    </w:p>
    <w:p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6B67C5" w:rsidRDefault="006B67C5" w:rsidP="00E750F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E750F4">
        <w:rPr>
          <w:rFonts w:ascii="Times New Roman" w:hAnsi="Times New Roman" w:cs="Times New Roman"/>
          <w:sz w:val="28"/>
          <w:szCs w:val="28"/>
        </w:rPr>
        <w:t>ыроваткинаТ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A2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7C5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6A4" w:rsidRPr="001526A4" w:rsidRDefault="008D14E3" w:rsidP="001526A4">
      <w:pPr>
        <w:pStyle w:val="ReportHead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AC3A22">
        <w:rPr>
          <w:rFonts w:ascii="Times New Roman" w:hAnsi="Times New Roman"/>
        </w:rPr>
        <w:t>ческой теории, региональной и отраслевой экономики</w:t>
      </w:r>
    </w:p>
    <w:p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A4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2F7910">
        <w:rPr>
          <w:rFonts w:ascii="Times New Roman" w:hAnsi="Times New Roman" w:cs="Times New Roman"/>
          <w:sz w:val="28"/>
          <w:szCs w:val="28"/>
        </w:rPr>
        <w:t>ю</w:t>
      </w:r>
      <w:r w:rsidRPr="00AE00F0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DD2">
        <w:rPr>
          <w:rFonts w:ascii="Times New Roman" w:hAnsi="Times New Roman" w:cs="Times New Roman"/>
          <w:sz w:val="28"/>
          <w:szCs w:val="28"/>
        </w:rPr>
        <w:t>Экономика и организация архитектурно-дизайнерского проектирования 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00F0"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:rsidR="006B67C5" w:rsidRPr="00AE00F0" w:rsidRDefault="006B67C5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6B67C5" w:rsidRPr="00CA460D">
        <w:tc>
          <w:tcPr>
            <w:tcW w:w="3522" w:type="dxa"/>
          </w:tcPr>
          <w:p w:rsidR="006B67C5" w:rsidRPr="000023BF" w:rsidRDefault="006B67C5" w:rsidP="0000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ыроваткинаТ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3A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482D1A" w:rsidRPr="00482D1A">
              <w:rPr>
                <w:noProof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" strokecolor="white" strokeweight="1pt">
                  <v:path arrowok="t"/>
                </v:rect>
              </w:pic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2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67C5" w:rsidRPr="00CA460D">
        <w:tc>
          <w:tcPr>
            <w:tcW w:w="3522" w:type="dxa"/>
          </w:tcPr>
          <w:p w:rsidR="006B67C5" w:rsidRPr="000023BF" w:rsidRDefault="002F7910" w:rsidP="000023BF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2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6B67C5" w:rsidRDefault="006B67C5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337F38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F3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6B67C5" w:rsidRPr="000E7012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CA460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6B67C5" w:rsidRPr="00CA460D">
        <w:tc>
          <w:tcPr>
            <w:tcW w:w="8931" w:type="dxa"/>
          </w:tcPr>
          <w:p w:rsidR="006B67C5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0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5D7613" w:rsidRDefault="006B67C5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5D7613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ихвнем,о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зациясистемыкул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ообсл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6B67C5" w:rsidRPr="005D7613" w:rsidRDefault="006B67C5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:rsidR="006B67C5" w:rsidRDefault="006B67C5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 xml:space="preserve">задача курса </w:t>
      </w:r>
      <w:r w:rsidRPr="002D5C19">
        <w:rPr>
          <w:rFonts w:ascii="Times New Roman" w:hAnsi="Times New Roman" w:cs="Times New Roman"/>
          <w:sz w:val="24"/>
          <w:szCs w:val="24"/>
        </w:rPr>
        <w:t>«Экономика и организация архитектурно-дизайнерского проектирования и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:rsidR="006B67C5" w:rsidRPr="008D14E3" w:rsidRDefault="006B67C5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8D14E3">
        <w:rPr>
          <w:rFonts w:ascii="Times New Roman" w:hAnsi="Times New Roman" w:cs="Times New Roman"/>
        </w:rPr>
        <w:t>Целью изучения дисциплины «Экономика и организация архитектурно-дизайнерского проектирования и строительства</w:t>
      </w:r>
      <w:r w:rsidRPr="008D14E3">
        <w:rPr>
          <w:rFonts w:ascii="Times New Roman" w:hAnsi="Times New Roman" w:cs="Times New Roman"/>
          <w:i/>
          <w:iCs/>
        </w:rPr>
        <w:t>»</w:t>
      </w:r>
      <w:r w:rsidRPr="008D14E3">
        <w:rPr>
          <w:rFonts w:ascii="Times New Roman" w:hAnsi="Times New Roman" w:cs="Times New Roman"/>
        </w:rPr>
        <w:t xml:space="preserve">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:rsidR="006B67C5" w:rsidRDefault="006B67C5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:rsidR="006B67C5" w:rsidRPr="005D7613" w:rsidRDefault="006B67C5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D7613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DE4DD2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DE4DD2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архитектурно-дизайнерских решений на экономику градостроительства, строительства и эксплуатации зданий и 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:rsidR="008D14E3" w:rsidRPr="008D14E3" w:rsidRDefault="006B67C5" w:rsidP="008D14E3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  <w:szCs w:val="24"/>
        </w:rPr>
        <w:t>Процесс изучения дисциплины «Экономика и организация архитектурно-дизайнерского проектирования и строительства» направлен на формирование следующей компетенции в соответствии с ФГОС ВО и ООП ВО по направлению подготовки 07.03.0</w:t>
      </w:r>
      <w:r w:rsidR="008D14E3">
        <w:rPr>
          <w:rFonts w:ascii="Times New Roman" w:hAnsi="Times New Roman"/>
          <w:sz w:val="24"/>
          <w:szCs w:val="24"/>
        </w:rPr>
        <w:t>3</w:t>
      </w:r>
      <w:r w:rsidR="008D14E3" w:rsidRPr="008D14E3">
        <w:rPr>
          <w:rFonts w:ascii="Times New Roman" w:hAnsi="Times New Roman"/>
          <w:sz w:val="24"/>
        </w:rPr>
        <w:t>Дизайн архитектурной среды</w:t>
      </w:r>
      <w:r w:rsidR="008D14E3">
        <w:rPr>
          <w:rFonts w:ascii="Times New Roman" w:hAnsi="Times New Roman"/>
          <w:sz w:val="24"/>
        </w:rPr>
        <w:t>: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УК-2 -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Индикаторов достижения компетенции УК-2:</w:t>
      </w:r>
    </w:p>
    <w:p w:rsidR="008D14E3" w:rsidRDefault="008D14E3" w:rsidP="008D14E3">
      <w:pPr>
        <w:pStyle w:val="ReportMain"/>
        <w:suppressAutoHyphens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УК-2-В-3 - применять элементы анализа, планирования и оценки рисков для выбора оптимальной стратегии развития и обоснования устойчивости проекта;</w:t>
      </w:r>
    </w:p>
    <w:p w:rsidR="006B67C5" w:rsidRPr="00023BD1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УК-2-В-4 - в рамках цели проекта опираться на правовые нормы основных отраслей российского законодательства при постановке целей и выборе оптимальных способов их </w:t>
      </w:r>
      <w:r>
        <w:rPr>
          <w:rFonts w:ascii="Times New Roman" w:hAnsi="Times New Roman" w:cs="Times New Roman"/>
          <w:sz w:val="24"/>
          <w:szCs w:val="24"/>
        </w:rPr>
        <w:lastRenderedPageBreak/>
        <w:t>достижения; обладать навыками использования нормативно-правовых ресурсов в разработке и реализации проектов.</w:t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>
        <w:rPr>
          <w:rFonts w:ascii="Times New Roman" w:hAnsi="Times New Roman" w:cs="Times New Roman"/>
          <w:sz w:val="24"/>
          <w:szCs w:val="24"/>
        </w:rPr>
        <w:t>практических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</w:t>
      </w:r>
      <w:r w:rsidR="008D14E3">
        <w:rPr>
          <w:rFonts w:ascii="Times New Roman" w:hAnsi="Times New Roman" w:cs="Times New Roman"/>
          <w:sz w:val="24"/>
          <w:szCs w:val="24"/>
        </w:rPr>
        <w:t>иУ</w:t>
      </w:r>
      <w:r>
        <w:rPr>
          <w:rFonts w:ascii="Times New Roman" w:hAnsi="Times New Roman" w:cs="Times New Roman"/>
          <w:sz w:val="24"/>
          <w:szCs w:val="24"/>
        </w:rPr>
        <w:t>К-</w:t>
      </w:r>
      <w:r w:rsidR="008D14E3">
        <w:rPr>
          <w:rFonts w:ascii="Times New Roman" w:hAnsi="Times New Roman" w:cs="Times New Roman"/>
          <w:sz w:val="24"/>
          <w:szCs w:val="24"/>
        </w:rPr>
        <w:t>2</w:t>
      </w:r>
      <w:r w:rsidRPr="000E70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4E3" w:rsidRPr="000E7012" w:rsidRDefault="008D14E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AE00F0" w:rsidRDefault="006B67C5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0F0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6B67C5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Цель: изучить место и роль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развитии производства и общества</w:t>
      </w:r>
    </w:p>
    <w:p w:rsidR="006B67C5" w:rsidRPr="00864C57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Двойственный характеробъектов архитектуры. 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lastRenderedPageBreak/>
        <w:t xml:space="preserve">Ресурсы капитального строительства. </w:t>
      </w:r>
    </w:p>
    <w:p w:rsidR="006B67C5" w:rsidRDefault="006B67C5" w:rsidP="00270EED">
      <w:pPr>
        <w:pStyle w:val="ReportMain"/>
        <w:suppressAutoHyphens/>
        <w:ind w:firstLine="709"/>
        <w:jc w:val="both"/>
        <w:rPr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 xml:space="preserve">Цель: </w:t>
      </w:r>
      <w:r w:rsidRPr="0013642F">
        <w:rPr>
          <w:rFonts w:ascii="Times New Roman" w:hAnsi="Times New Roman" w:cs="Times New Roman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Понятие и классификация средств производства строительных и проектных организаций.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Оценка основных фондов. Износ и амортизация основных фондов.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Показатели использования основных фондов.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Понятия, состав и структура оборотных средств.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 эффективности использования оборотных средств.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Показатели, оценка и пути повышения эффективности использования оборотных средств.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Трудовые ресурсы строительных организаций.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Методы измерения производительности труда.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Резервы и пути повышения производительности труда.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Нормирование труда, сущность, методы, виды норм.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3. Финансирование и кредитование в строительстве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  <w:i/>
          <w:iCs/>
        </w:rPr>
        <w:t>рассмотреть источники и реализацию финансирования и кредитования в строительстве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</w:rPr>
        <w:t>Фактор времени в строительстве.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Экономический эффект от досрочного ввода объекта в эксплуатацию. 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Экономический эффект от сокращения продолжительности строительства.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Экономическая оценка потерь от «замораживания» капитальных вложений.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4. Основы ценообразования в строительстве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  <w:i/>
          <w:iCs/>
        </w:rPr>
        <w:t>рассмотреть особенности ценообразования в строительстве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Основы определения сметной стоимости строительной продукции. 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Расчёт цены инвестора. 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Модели формирования инвестиционной сметной стоимости строительства.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Формирование договорных цен на строительно-монтажные работы.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5. Порядок оценки архитектурно-проектных решений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изучить этапы экспертизы архитектурно-проектных решений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Этапы экономической работы при проектировании. 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Критерии оценки проектных решений. 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строительных проектов.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6. Экономические вопросы архитектурно-планировочных решений городов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Состав предпроектных расчётов при проектировании генплана города. </w:t>
      </w:r>
    </w:p>
    <w:p w:rsidR="006B67C5" w:rsidRPr="0013642F" w:rsidRDefault="006B67C5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Порядок определения территории, необходимой для размещения жилой зоны города.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градостроительных проектов.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7. Экономика архитектурно-планировочных решений жилых и общественных зданий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lastRenderedPageBreak/>
        <w:t>Цель: рассмотреть технико-экономическую оценку архитектурно-планировочных решений жилых и общественных зданий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Общие тенденции развития жилищного строительства в России.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проектов жилых домов.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Факторы, определяющие экономичность проектных решений жилых домов.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Применение экономико-математических методов при проектировании жилья.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оценки проектных решений общественных зданий.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:rsidR="008D14E3" w:rsidRP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8D14E3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:rsidR="006B67C5" w:rsidRPr="0013642F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AE00F0" w:rsidRDefault="006B67C5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AE00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Последовательность проведения практических работ и их тематика представлена в рабочей программе.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6B67C5" w:rsidRPr="00AE00F0" w:rsidRDefault="006B67C5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7C5" w:rsidRPr="00AE00F0" w:rsidRDefault="006B67C5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:rsidR="006B67C5" w:rsidRPr="00AE00F0" w:rsidRDefault="006B67C5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7C5" w:rsidRPr="00AE00F0" w:rsidRDefault="006B67C5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6B67C5" w:rsidRPr="00AE00F0" w:rsidRDefault="006B67C5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B67C5" w:rsidRPr="00AE00F0" w:rsidRDefault="006B67C5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6B67C5" w:rsidRPr="00AE00F0" w:rsidRDefault="006B67C5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67C5" w:rsidRPr="00AE00F0" w:rsidRDefault="006B67C5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6B67C5" w:rsidRPr="00FA41C6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6B67C5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C20C4C" w:rsidRPr="00FA41C6" w:rsidRDefault="00C20C4C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D14E3" w:rsidRPr="00C20C4C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4.Рекомендации по подготовке к промежуточной аттестации –дифзачету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14E3" w:rsidRDefault="008D14E3" w:rsidP="008D14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14E3" w:rsidRDefault="008D14E3" w:rsidP="008D14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2322"/>
        <w:gridCol w:w="2011"/>
        <w:gridCol w:w="2011"/>
        <w:gridCol w:w="2272"/>
      </w:tblGrid>
      <w:tr w:rsidR="008D14E3" w:rsidTr="008D14E3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«2»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:rsidTr="008D14E3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Диф.заче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Свободно владеет</w:t>
            </w:r>
          </w:p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:rsidR="008D14E3" w:rsidRDefault="008D14E3" w:rsidP="008D14E3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D14E3" w:rsidRDefault="008D14E3" w:rsidP="008D14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4E3">
          <w:pgSz w:w="11906" w:h="16838"/>
          <w:pgMar w:top="1134" w:right="1134" w:bottom="1134" w:left="1134" w:header="708" w:footer="708" w:gutter="0"/>
          <w:cols w:space="720"/>
        </w:sectPr>
      </w:pPr>
    </w:p>
    <w:p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F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Давиденко, В. П. Экономика проектирования: учебное пособие / В. П. Давиденко, Л. Т. Ки-селева, С. В. Мелихов. — Самара: АСИ СамГТУ, 2012. — 80 с. — ISBN 978-5-9585-0500-5. — Текст: электронный // Лань: электронно-библиотечная система. — URL: https://e.lanbook.com/book/73877 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2 Давиденко, В. П. Экономика архитектурных решений и строительства: учебное пособие / В. П. Давиденко, Л. Т. Киселева. — Самара: АСИ СамГТУ, 2013. — 162 с. — ISBN 978-5-9585-0528-9. — Текст: электронный // Лань: электронно-библиотечная система. — URL: https://e.lanbook.com/book/73878 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3 Кирюшечкина, Л. И. Экономика архитектурных решений. Экономические основы для ар-хитектора: учебник / Л. И. Кирюшечкина, Л. А. Солодилова. — Москва: , 2017. — 304 с. — ISBN 978-5-9988-0453-3. — Текст: электронный // Лань: электронно-библиотечная система. — URL: https://e.lanbook.com/book/150441 Либерман  И.А. Проектно-сметное дело и себестоимость строительства. Учебное пособие.- Ростов-на-Дону: МарТ,  2008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Полити, В. В. Экономика градостроительных решений : учебно-методическое пособие / В. В. Поли-ти, А. В. Федосьина, А. Ю. Мисаилов. — Москва: МИСИ-МГСУ, ЭБС АСВ, 2020. — 49 c. — ISBN 978-5-7264-2143-8. — Текст: электронный // Электронно-библиотечная система IPR BOOKS: [сайт]. — URL: http://www.iprbookshop.ru/101849.html  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проектирования и строительства : учебно-методическое пособие / составители А. А. Натпитоол, А. С. Сандан. — Кызыл: ТувГУ, 2019. — 78 с. — Текст: электронный // Лань : электронно-библиотечная система. — URL: https://e.lanbook.com/book/156277 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Кель-чевская. — Москва: ИНФРА-М, 2020. — 274 с. — (Высшее образование: Бакалавриат). — DOI 10.12737/1014648. - ISBN 978-5-16-015018-5. - Текст: электронный. - URL: </w:t>
      </w:r>
      <w:hyperlink r:id="rId8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строительства: учебное пособие / В. С. Мешкова. — Донецк: Донецкий госу-дарственный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9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http://www.iprbookshop.ru/62365.html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Учет затрат и калькулирование себестоимости готовых объектов и отдельных циклов работ при долевом строительстве: монография / Т.П. Карпова, С.Ф. Шарафутина. – М.: Вузовский учебник: ИНФРА-М, 2018. – 276 с. – (Научная книга). - Режим доступа: </w:t>
      </w:r>
      <w:hyperlink r:id="rId10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http://znanium.com/catalog/product/977001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3C0FAD" w:rsidRDefault="003C0FAD" w:rsidP="003C0FA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3C0FAD" w:rsidRPr="003C0FAD" w:rsidRDefault="003C0FAD" w:rsidP="003C0FAD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</w:rPr>
      </w:pPr>
      <w:r w:rsidRPr="003C0FAD">
        <w:rPr>
          <w:rFonts w:ascii="Times New Roman" w:hAnsi="Times New Roman" w:cs="Times New Roman"/>
          <w:b/>
          <w:sz w:val="24"/>
        </w:rPr>
        <w:t xml:space="preserve"> Периодические издания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C4C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C20C4C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C20C4C">
        <w:rPr>
          <w:rFonts w:ascii="Times New Roman" w:hAnsi="Times New Roman" w:cs="Times New Roman"/>
          <w:bCs/>
          <w:sz w:val="24"/>
          <w:szCs w:val="24"/>
        </w:rPr>
        <w:t>2019</w:t>
      </w:r>
      <w:r w:rsidRPr="00C20C4C">
        <w:rPr>
          <w:rFonts w:ascii="Times New Roman" w:hAnsi="Times New Roman" w:cs="Times New Roman"/>
          <w:sz w:val="24"/>
          <w:szCs w:val="24"/>
        </w:rPr>
        <w:t>. - № 1-12,</w:t>
      </w:r>
      <w:bookmarkStart w:id="2" w:name="_Hlk67217330"/>
      <w:r w:rsidRPr="00C20C4C">
        <w:rPr>
          <w:rFonts w:ascii="Times New Roman" w:hAnsi="Times New Roman" w:cs="Times New Roman"/>
          <w:sz w:val="24"/>
          <w:szCs w:val="24"/>
        </w:rPr>
        <w:t xml:space="preserve"> 2021. - № 1-12</w:t>
      </w:r>
      <w:bookmarkEnd w:id="1"/>
      <w:bookmarkEnd w:id="2"/>
      <w:r w:rsidRPr="00C20C4C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C20C4C">
        <w:rPr>
          <w:rFonts w:ascii="Times New Roman" w:hAnsi="Times New Roman" w:cs="Times New Roman"/>
          <w:sz w:val="24"/>
          <w:szCs w:val="24"/>
        </w:rPr>
        <w:t>2022. - № 1-2.</w:t>
      </w:r>
      <w:bookmarkEnd w:id="3"/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C20C4C">
        <w:rPr>
          <w:rFonts w:ascii="Times New Roman" w:hAnsi="Times New Roman" w:cs="Times New Roman"/>
          <w:bCs/>
          <w:sz w:val="24"/>
          <w:szCs w:val="24"/>
        </w:rPr>
        <w:t>2020</w:t>
      </w:r>
      <w:r w:rsidRPr="00C20C4C">
        <w:rPr>
          <w:rFonts w:ascii="Times New Roman" w:hAnsi="Times New Roman" w:cs="Times New Roman"/>
          <w:sz w:val="24"/>
          <w:szCs w:val="24"/>
        </w:rPr>
        <w:t>. - № 1-12, 2021. - № 1-12, 2022. - № 1-2.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2021.- № 1-6, </w:t>
      </w:r>
      <w:r w:rsidRPr="00C20C4C">
        <w:rPr>
          <w:rFonts w:ascii="Times New Roman" w:hAnsi="Times New Roman" w:cs="Times New Roman"/>
          <w:sz w:val="24"/>
          <w:szCs w:val="24"/>
        </w:rPr>
        <w:t>2022. - № 1.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</w:t>
      </w: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чать", 2022.- №1-2.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20C4C">
        <w:rPr>
          <w:rFonts w:ascii="Times New Roman" w:hAnsi="Times New Roman" w:cs="Times New Roman"/>
          <w:bCs/>
          <w:sz w:val="24"/>
          <w:szCs w:val="24"/>
        </w:rPr>
        <w:t>Механизация строительства</w:t>
      </w:r>
      <w:r w:rsidRPr="00C20C4C">
        <w:rPr>
          <w:rFonts w:ascii="Times New Roman" w:hAnsi="Times New Roman" w:cs="Times New Roman"/>
          <w:sz w:val="24"/>
          <w:szCs w:val="24"/>
        </w:rPr>
        <w:t xml:space="preserve">: журнал. - Москва: Агентство "Роспечать", </w:t>
      </w:r>
      <w:r w:rsidRPr="00C20C4C">
        <w:rPr>
          <w:rFonts w:ascii="Times New Roman" w:hAnsi="Times New Roman" w:cs="Times New Roman"/>
          <w:bCs/>
          <w:sz w:val="24"/>
          <w:szCs w:val="24"/>
        </w:rPr>
        <w:t>2021</w:t>
      </w:r>
      <w:r w:rsidRPr="00C20C4C">
        <w:rPr>
          <w:rFonts w:ascii="Times New Roman" w:hAnsi="Times New Roman" w:cs="Times New Roman"/>
          <w:sz w:val="24"/>
          <w:szCs w:val="24"/>
        </w:rPr>
        <w:t xml:space="preserve">. </w:t>
      </w: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1-6, </w:t>
      </w:r>
      <w:r w:rsidRPr="00C20C4C">
        <w:rPr>
          <w:rFonts w:ascii="Times New Roman" w:hAnsi="Times New Roman" w:cs="Times New Roman"/>
          <w:sz w:val="24"/>
          <w:szCs w:val="24"/>
        </w:rPr>
        <w:t>2022. - № 1.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Промышленное и гражданское строительство: журнал. - М.: Агентство "Роспечать", 2019. № 1-12; 2020. № 1-12, 2021. № 1-6, </w:t>
      </w:r>
      <w:r w:rsidRPr="00C20C4C">
        <w:rPr>
          <w:rFonts w:ascii="Times New Roman" w:hAnsi="Times New Roman" w:cs="Times New Roman"/>
          <w:sz w:val="24"/>
          <w:szCs w:val="24"/>
        </w:rPr>
        <w:t>2022. - № 1.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2021.- № 1-12, </w:t>
      </w:r>
      <w:r w:rsidRPr="00C20C4C">
        <w:rPr>
          <w:rFonts w:ascii="Times New Roman" w:hAnsi="Times New Roman" w:cs="Times New Roman"/>
          <w:sz w:val="24"/>
          <w:szCs w:val="24"/>
        </w:rPr>
        <w:t>2022. - № 1-2.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2019. № 1-3, 2020. № 1-7, 2021.- № 2-5, </w:t>
      </w:r>
      <w:r w:rsidRPr="00C20C4C">
        <w:rPr>
          <w:rFonts w:ascii="Times New Roman" w:hAnsi="Times New Roman" w:cs="Times New Roman"/>
          <w:sz w:val="24"/>
          <w:szCs w:val="24"/>
        </w:rPr>
        <w:t>2022. - № 1-2</w:t>
      </w: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2019.- № 1-12, 2020.- № 1-12, 2021.- № 1-12, </w:t>
      </w:r>
      <w:r w:rsidRPr="00C20C4C">
        <w:rPr>
          <w:rFonts w:ascii="Times New Roman" w:hAnsi="Times New Roman" w:cs="Times New Roman"/>
          <w:sz w:val="24"/>
          <w:szCs w:val="24"/>
        </w:rPr>
        <w:t>2022. - № 1-2.</w:t>
      </w:r>
    </w:p>
    <w:p w:rsidR="00C20C4C" w:rsidRPr="00C20C4C" w:rsidRDefault="00C20C4C" w:rsidP="00C20C4C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2020.- № 4, 2021.- № 1-6, </w:t>
      </w:r>
      <w:r w:rsidRPr="00C20C4C">
        <w:rPr>
          <w:rFonts w:ascii="Times New Roman" w:hAnsi="Times New Roman" w:cs="Times New Roman"/>
          <w:sz w:val="24"/>
          <w:szCs w:val="24"/>
        </w:rPr>
        <w:t>2022. - № 1-2</w:t>
      </w:r>
      <w:r w:rsidRPr="00C20C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AD">
        <w:rPr>
          <w:rFonts w:ascii="Times New Roman" w:hAnsi="Times New Roman" w:cs="Times New Roman"/>
          <w:b/>
          <w:sz w:val="24"/>
          <w:szCs w:val="24"/>
        </w:rPr>
        <w:t xml:space="preserve"> Интернет-ресурсы </w:t>
      </w:r>
    </w:p>
    <w:p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FAD" w:rsidRPr="003C0FAD" w:rsidRDefault="00482D1A" w:rsidP="003C0F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2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7" w:tgtFrame="_blank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3C0FAD" w:rsidRPr="003C0FAD" w:rsidRDefault="003C0FAD" w:rsidP="003C0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C0FAD">
        <w:rPr>
          <w:rFonts w:ascii="Times New Roman" w:hAnsi="Times New Roman" w:cs="Times New Roman"/>
          <w:color w:val="0000FF"/>
          <w:sz w:val="24"/>
        </w:rPr>
        <w:t>https://openedu.ru/course/</w:t>
      </w:r>
      <w:r w:rsidRPr="003C0FAD">
        <w:rPr>
          <w:rFonts w:ascii="Times New Roman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0FAD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3C0FAD">
        <w:rPr>
          <w:rFonts w:ascii="Times New Roman" w:hAnsi="Times New Roman" w:cs="Times New Roman"/>
          <w:sz w:val="24"/>
          <w:szCs w:val="24"/>
        </w:rPr>
        <w:t>МООК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5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3C0FAD" w:rsidRPr="003C0FAD">
        <w:rPr>
          <w:rFonts w:ascii="Times New Roman" w:hAnsi="Times New Roman" w:cs="Times New Roman"/>
        </w:rPr>
        <w:t xml:space="preserve"> - </w:t>
      </w:r>
      <w:r w:rsidR="003C0FAD" w:rsidRPr="003C0FAD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6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3C0FAD" w:rsidRPr="003C0FAD">
        <w:rPr>
          <w:rFonts w:ascii="Times New Roman" w:hAnsi="Times New Roman" w:cs="Times New Roman"/>
        </w:rPr>
        <w:t xml:space="preserve"> - </w:t>
      </w:r>
      <w:r w:rsidR="003C0FAD" w:rsidRPr="003C0FAD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3C0FAD" w:rsidRPr="003C0FAD" w:rsidRDefault="00482D1A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3C0FAD" w:rsidRPr="003C0FAD" w:rsidRDefault="003C0FAD" w:rsidP="003C0FAD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14E3" w:rsidRDefault="008D14E3" w:rsidP="008D14E3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p w:rsidR="006B67C5" w:rsidRPr="00252D37" w:rsidRDefault="006B67C5" w:rsidP="008D14E3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6B67C5" w:rsidRPr="00252D37" w:rsidSect="000E7012">
      <w:footerReference w:type="default" r:id="rId2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79F" w:rsidRDefault="0080579F" w:rsidP="0043644C">
      <w:pPr>
        <w:spacing w:after="0" w:line="240" w:lineRule="auto"/>
      </w:pPr>
      <w:r>
        <w:separator/>
      </w:r>
    </w:p>
  </w:endnote>
  <w:endnote w:type="continuationSeparator" w:id="1">
    <w:p w:rsidR="0080579F" w:rsidRDefault="0080579F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7C5" w:rsidRDefault="00482D1A">
    <w:pPr>
      <w:pStyle w:val="ad"/>
      <w:jc w:val="right"/>
    </w:pPr>
    <w:r>
      <w:fldChar w:fldCharType="begin"/>
    </w:r>
    <w:r w:rsidR="00A17F9B">
      <w:instrText>PAGE   \* MERGEFORMAT</w:instrText>
    </w:r>
    <w:r>
      <w:fldChar w:fldCharType="separate"/>
    </w:r>
    <w:r w:rsidR="00C20C4C">
      <w:rPr>
        <w:noProof/>
      </w:rPr>
      <w:t>14</w:t>
    </w:r>
    <w:r>
      <w:rPr>
        <w:noProof/>
      </w:rPr>
      <w:fldChar w:fldCharType="end"/>
    </w:r>
  </w:p>
  <w:p w:rsidR="006B67C5" w:rsidRDefault="006B67C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79F" w:rsidRDefault="0080579F" w:rsidP="0043644C">
      <w:pPr>
        <w:spacing w:after="0" w:line="240" w:lineRule="auto"/>
      </w:pPr>
      <w:r>
        <w:separator/>
      </w:r>
    </w:p>
  </w:footnote>
  <w:footnote w:type="continuationSeparator" w:id="1">
    <w:p w:rsidR="0080579F" w:rsidRDefault="0080579F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2.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4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2"/>
  </w:num>
  <w:num w:numId="11">
    <w:abstractNumId w:val="14"/>
  </w:num>
  <w:num w:numId="12">
    <w:abstractNumId w:val="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3103"/>
    <w:rsid w:val="000023BF"/>
    <w:rsid w:val="000076B6"/>
    <w:rsid w:val="00023BD1"/>
    <w:rsid w:val="000716C5"/>
    <w:rsid w:val="000E7012"/>
    <w:rsid w:val="0013642F"/>
    <w:rsid w:val="001526A4"/>
    <w:rsid w:val="00162011"/>
    <w:rsid w:val="001A3E63"/>
    <w:rsid w:val="001D1B55"/>
    <w:rsid w:val="001F55AD"/>
    <w:rsid w:val="001F7CD7"/>
    <w:rsid w:val="002335E4"/>
    <w:rsid w:val="00252D37"/>
    <w:rsid w:val="00270EED"/>
    <w:rsid w:val="00273CC2"/>
    <w:rsid w:val="002B35A3"/>
    <w:rsid w:val="002D5C19"/>
    <w:rsid w:val="002E0C1B"/>
    <w:rsid w:val="002F7910"/>
    <w:rsid w:val="0030235E"/>
    <w:rsid w:val="00333212"/>
    <w:rsid w:val="00337F38"/>
    <w:rsid w:val="003635C6"/>
    <w:rsid w:val="0037316F"/>
    <w:rsid w:val="00394B8D"/>
    <w:rsid w:val="003C0FAD"/>
    <w:rsid w:val="00410817"/>
    <w:rsid w:val="0043644C"/>
    <w:rsid w:val="00445426"/>
    <w:rsid w:val="0046365B"/>
    <w:rsid w:val="00482D1A"/>
    <w:rsid w:val="00482F79"/>
    <w:rsid w:val="0049270D"/>
    <w:rsid w:val="004B336C"/>
    <w:rsid w:val="004C1FAB"/>
    <w:rsid w:val="005012AB"/>
    <w:rsid w:val="00542D97"/>
    <w:rsid w:val="00545FB4"/>
    <w:rsid w:val="005B1EFE"/>
    <w:rsid w:val="005D2256"/>
    <w:rsid w:val="005D34C9"/>
    <w:rsid w:val="005D7613"/>
    <w:rsid w:val="005E68C9"/>
    <w:rsid w:val="00604E8E"/>
    <w:rsid w:val="00620B14"/>
    <w:rsid w:val="006610C7"/>
    <w:rsid w:val="006726B1"/>
    <w:rsid w:val="00685600"/>
    <w:rsid w:val="006B67C5"/>
    <w:rsid w:val="006C77E3"/>
    <w:rsid w:val="00770CE2"/>
    <w:rsid w:val="00776EF1"/>
    <w:rsid w:val="007776AE"/>
    <w:rsid w:val="00795FD2"/>
    <w:rsid w:val="007A5C2E"/>
    <w:rsid w:val="007B27CB"/>
    <w:rsid w:val="007C3B66"/>
    <w:rsid w:val="0080579F"/>
    <w:rsid w:val="0084701A"/>
    <w:rsid w:val="00864C57"/>
    <w:rsid w:val="00875443"/>
    <w:rsid w:val="008B7180"/>
    <w:rsid w:val="008D14E3"/>
    <w:rsid w:val="008D2ABB"/>
    <w:rsid w:val="0090460D"/>
    <w:rsid w:val="009046E0"/>
    <w:rsid w:val="00922C40"/>
    <w:rsid w:val="0095561D"/>
    <w:rsid w:val="00976155"/>
    <w:rsid w:val="009877FB"/>
    <w:rsid w:val="00A17F9B"/>
    <w:rsid w:val="00A20FA1"/>
    <w:rsid w:val="00A64E7B"/>
    <w:rsid w:val="00A955A5"/>
    <w:rsid w:val="00AC3A22"/>
    <w:rsid w:val="00AD3B7D"/>
    <w:rsid w:val="00AE00F0"/>
    <w:rsid w:val="00B008D3"/>
    <w:rsid w:val="00B24313"/>
    <w:rsid w:val="00B32E1B"/>
    <w:rsid w:val="00B44A95"/>
    <w:rsid w:val="00B54391"/>
    <w:rsid w:val="00B57208"/>
    <w:rsid w:val="00BA2382"/>
    <w:rsid w:val="00BF4CC4"/>
    <w:rsid w:val="00C20C4C"/>
    <w:rsid w:val="00C915AF"/>
    <w:rsid w:val="00CA460D"/>
    <w:rsid w:val="00CE5C0C"/>
    <w:rsid w:val="00D16F4F"/>
    <w:rsid w:val="00D616E3"/>
    <w:rsid w:val="00D77879"/>
    <w:rsid w:val="00D77AFD"/>
    <w:rsid w:val="00DA1FEC"/>
    <w:rsid w:val="00DA3103"/>
    <w:rsid w:val="00DE0EC3"/>
    <w:rsid w:val="00DE3855"/>
    <w:rsid w:val="00DE4DD2"/>
    <w:rsid w:val="00DF035F"/>
    <w:rsid w:val="00E12FCF"/>
    <w:rsid w:val="00E172EF"/>
    <w:rsid w:val="00E25CC3"/>
    <w:rsid w:val="00E72287"/>
    <w:rsid w:val="00E750F4"/>
    <w:rsid w:val="00E826CC"/>
    <w:rsid w:val="00E90040"/>
    <w:rsid w:val="00EB26C8"/>
    <w:rsid w:val="00EF5707"/>
    <w:rsid w:val="00F2598D"/>
    <w:rsid w:val="00F425D8"/>
    <w:rsid w:val="00F62B9B"/>
    <w:rsid w:val="00F97F91"/>
    <w:rsid w:val="00FA41C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0716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20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14648" TargetMode="Externa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hyperlink" Target="https://www.vestnikmgs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up.ru/" TargetMode="External"/><Relationship Id="rId25" Type="http://schemas.openxmlformats.org/officeDocument/2006/relationships/hyperlink" Target="https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p.ru/" TargetMode="External"/><Relationship Id="rId20" Type="http://schemas.openxmlformats.org/officeDocument/2006/relationships/hyperlink" Target="http://ibook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db/portal/sites/portal_page.html" TargetMode="External"/><Relationship Id="rId24" Type="http://schemas.openxmlformats.org/officeDocument/2006/relationships/hyperlink" Target="https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pert.ru/" TargetMode="External"/><Relationship Id="rId23" Type="http://schemas.openxmlformats.org/officeDocument/2006/relationships/hyperlink" Target="https://rucont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znanium.com/catalog/product/977001" TargetMode="External"/><Relationship Id="rId19" Type="http://schemas.openxmlformats.org/officeDocument/2006/relationships/hyperlink" Target="http://www.iea.ru/%2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2365.html" TargetMode="Externa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e.lanbook.com/" TargetMode="External"/><Relationship Id="rId27" Type="http://schemas.openxmlformats.org/officeDocument/2006/relationships/hyperlink" Target="http://mgsu.ru/resources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9EE5-D16D-47C8-9B1F-1E434BFB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4637</Words>
  <Characters>26432</Characters>
  <Application>Microsoft Office Word</Application>
  <DocSecurity>0</DocSecurity>
  <Lines>220</Lines>
  <Paragraphs>62</Paragraphs>
  <ScaleCrop>false</ScaleCrop>
  <Company>SPecialiST RePack</Company>
  <LinksUpToDate>false</LinksUpToDate>
  <CharactersWithSpaces>31007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2</cp:revision>
  <cp:lastPrinted>2019-01-20T09:21:00Z</cp:lastPrinted>
  <dcterms:created xsi:type="dcterms:W3CDTF">2022-03-15T08:38:00Z</dcterms:created>
  <dcterms:modified xsi:type="dcterms:W3CDTF">2022-03-15T08:38:00Z</dcterms:modified>
</cp:coreProperties>
</file>