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CD0125" w:rsidP="00CD0125">
      <w:pPr>
        <w:pStyle w:val="ReportHead"/>
        <w:suppressAutoHyphens/>
        <w:rPr>
          <w:i/>
          <w:sz w:val="24"/>
          <w:u w:val="single"/>
        </w:rPr>
      </w:pPr>
      <w:r>
        <w:rPr>
          <w:i/>
          <w:sz w:val="24"/>
          <w:u w:val="single"/>
        </w:rPr>
        <w:t>Государственно-правовой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7312AC">
        <w:rPr>
          <w:rFonts w:eastAsiaTheme="minorHAnsi"/>
          <w:szCs w:val="22"/>
          <w:lang w:eastAsia="en-US"/>
        </w:rPr>
        <w:t>22</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7312AC">
        <w:rPr>
          <w:sz w:val="28"/>
          <w:szCs w:val="28"/>
        </w:rPr>
        <w:t>2</w:t>
      </w:r>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A77826">
        <w:rPr>
          <w:color w:val="000000"/>
          <w:sz w:val="28"/>
          <w:szCs w:val="28"/>
        </w:rPr>
        <w:t>4</w:t>
      </w:r>
      <w:bookmarkStart w:id="1" w:name="_GoBack"/>
      <w:bookmarkEnd w:id="1"/>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 xml:space="preserve">1й – </w:t>
      </w:r>
      <w:proofErr w:type="gramStart"/>
      <w:r w:rsidRPr="00A77826">
        <w:t>организационный</w:t>
      </w:r>
      <w:proofErr w:type="gramEnd"/>
      <w:r w:rsidRPr="00A77826">
        <w:t>;</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выполнение и разбор заданий (в часы практических занятий</w:t>
      </w:r>
      <w:proofErr w:type="gramStart"/>
      <w:r w:rsidRPr="00A77826">
        <w:t xml:space="preserve">); - </w:t>
      </w:r>
    </w:p>
    <w:p w:rsidR="00791530" w:rsidRPr="00A77826" w:rsidRDefault="00791530" w:rsidP="00791530">
      <w:pPr>
        <w:ind w:firstLine="709"/>
        <w:jc w:val="both"/>
      </w:pPr>
      <w:proofErr w:type="gramEnd"/>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w:t>
      </w:r>
      <w:r w:rsidRPr="00A77826">
        <w:rPr>
          <w:b/>
          <w:color w:val="000000"/>
          <w:spacing w:val="7"/>
          <w:sz w:val="28"/>
          <w:szCs w:val="28"/>
        </w:rPr>
        <w:t xml:space="preserve">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w:t>
      </w:r>
      <w:r w:rsidRPr="00A77826">
        <w:rPr>
          <w:rFonts w:eastAsia="Calibri"/>
        </w:rPr>
        <w:t>д</w:t>
      </w:r>
      <w:r w:rsidRPr="00A77826">
        <w:rPr>
          <w:rFonts w:eastAsia="Calibri"/>
        </w:rPr>
        <w:t>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w:t>
      </w:r>
      <w:r w:rsidRPr="00A77826">
        <w:rPr>
          <w:rFonts w:eastAsia="Calibri"/>
        </w:rPr>
        <w:t>и</w:t>
      </w:r>
      <w:r w:rsidRPr="00A77826">
        <w:rPr>
          <w:rFonts w:eastAsia="Calibri"/>
        </w:rPr>
        <w:t xml:space="preserve">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w:t>
      </w:r>
      <w:r w:rsidRPr="00A77826">
        <w:rPr>
          <w:rFonts w:eastAsia="Calibri"/>
        </w:rPr>
        <w:t>у</w:t>
      </w:r>
      <w:r w:rsidRPr="00A77826">
        <w:rPr>
          <w:rFonts w:eastAsia="Calibri"/>
        </w:rPr>
        <w:t>дента, условие задачи дает основание для нескольких вариантов решения, то необходимо рассмотреть каждую ве</w:t>
      </w:r>
      <w:r w:rsidRPr="00A77826">
        <w:rPr>
          <w:rFonts w:eastAsia="Calibri"/>
        </w:rPr>
        <w:t>р</w:t>
      </w:r>
      <w:r w:rsidRPr="00A77826">
        <w:rPr>
          <w:rFonts w:eastAsia="Calibri"/>
        </w:rPr>
        <w:t>сию. Включение в задачу измененных условий по инициативе преподавателя может быть полезным для более гл</w:t>
      </w:r>
      <w:r w:rsidRPr="00A77826">
        <w:rPr>
          <w:rFonts w:eastAsia="Calibri"/>
        </w:rPr>
        <w:t>у</w:t>
      </w:r>
      <w:r w:rsidRPr="00A77826">
        <w:rPr>
          <w:rFonts w:eastAsia="Calibri"/>
        </w:rPr>
        <w:t xml:space="preserve">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Приступая к решению правовой задачи (казуса), необходимо подробно изучить учебную и специальную л</w:t>
      </w:r>
      <w:r w:rsidRPr="00A77826">
        <w:rPr>
          <w:rFonts w:eastAsia="Calibri"/>
        </w:rPr>
        <w:t>и</w:t>
      </w:r>
      <w:r w:rsidRPr="00A77826">
        <w:rPr>
          <w:rFonts w:eastAsia="Calibri"/>
        </w:rPr>
        <w:t>тературу, определить правоотношение, требующее регулирования, ознакомиться с нормативными актами, подл</w:t>
      </w:r>
      <w:r w:rsidRPr="00A77826">
        <w:rPr>
          <w:rFonts w:eastAsia="Calibri"/>
        </w:rPr>
        <w:t>е</w:t>
      </w:r>
      <w:r w:rsidRPr="00A77826">
        <w:rPr>
          <w:rFonts w:eastAsia="Calibri"/>
        </w:rPr>
        <w:t>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w:t>
      </w:r>
      <w:r w:rsidRPr="00A77826">
        <w:rPr>
          <w:rFonts w:eastAsia="Calibri"/>
        </w:rPr>
        <w:t>и</w:t>
      </w:r>
      <w:r w:rsidRPr="00A77826">
        <w:rPr>
          <w:rFonts w:eastAsia="Calibri"/>
        </w:rPr>
        <w:t>кация фактов и отношений должна основываться на нормах права. Рассуждения и выводы должны быть обоснов</w:t>
      </w:r>
      <w:r w:rsidRPr="00A77826">
        <w:rPr>
          <w:rFonts w:eastAsia="Calibri"/>
        </w:rPr>
        <w:t>а</w:t>
      </w:r>
      <w:r w:rsidRPr="00A77826">
        <w:rPr>
          <w:rFonts w:eastAsia="Calibri"/>
        </w:rPr>
        <w:t xml:space="preserve">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Однако решение не должно состоять лишь из дословного изложения или пересказа текста статей нормати</w:t>
      </w:r>
      <w:r w:rsidRPr="00A77826">
        <w:rPr>
          <w:rFonts w:eastAsia="Calibri"/>
        </w:rPr>
        <w:t>в</w:t>
      </w:r>
      <w:r w:rsidRPr="00A77826">
        <w:rPr>
          <w:rFonts w:eastAsia="Calibri"/>
        </w:rPr>
        <w:t>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w:t>
      </w:r>
      <w:r w:rsidRPr="00A77826">
        <w:rPr>
          <w:rFonts w:eastAsia="Calibri"/>
        </w:rPr>
        <w:t>е</w:t>
      </w:r>
      <w:r w:rsidRPr="00A77826">
        <w:rPr>
          <w:rFonts w:eastAsia="Calibri"/>
        </w:rPr>
        <w:t xml:space="preserve">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w:t>
      </w:r>
      <w:r w:rsidRPr="00A77826">
        <w:rPr>
          <w:rFonts w:eastAsia="Calibri"/>
        </w:rPr>
        <w:t>я</w:t>
      </w:r>
      <w:r w:rsidRPr="00A77826">
        <w:rPr>
          <w:rFonts w:eastAsia="Calibri"/>
        </w:rPr>
        <w:t>ется поиск соответствующих нормативных правовых актов и определение правовых норм, подлежащих примен</w:t>
      </w:r>
      <w:r w:rsidRPr="00A77826">
        <w:rPr>
          <w:rFonts w:eastAsia="Calibri"/>
        </w:rPr>
        <w:t>е</w:t>
      </w:r>
      <w:r w:rsidRPr="00A77826">
        <w:rPr>
          <w:rFonts w:eastAsia="Calibri"/>
        </w:rPr>
        <w:t xml:space="preserve">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w:t>
      </w:r>
      <w:r w:rsidRPr="00A77826">
        <w:rPr>
          <w:rFonts w:eastAsia="Calibri"/>
        </w:rPr>
        <w:t>е</w:t>
      </w:r>
      <w:r w:rsidRPr="00A77826">
        <w:rPr>
          <w:rFonts w:eastAsia="Calibri"/>
        </w:rPr>
        <w:t>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1. Анализ ситуации. На данном этапе необходимо, прежде всего, уяснить содержание задачи, сущность во</w:t>
      </w:r>
      <w:r w:rsidRPr="00A77826">
        <w:rPr>
          <w:rFonts w:eastAsia="Calibri"/>
        </w:rPr>
        <w:t>з</w:t>
      </w:r>
      <w:r w:rsidRPr="00A77826">
        <w:rPr>
          <w:rFonts w:eastAsia="Calibri"/>
        </w:rPr>
        <w:t xml:space="preserve">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w:t>
      </w:r>
      <w:r w:rsidRPr="00A77826">
        <w:rPr>
          <w:rFonts w:eastAsia="Calibri"/>
        </w:rPr>
        <w:t>и</w:t>
      </w:r>
      <w:r w:rsidRPr="00A77826">
        <w:rPr>
          <w:rFonts w:eastAsia="Calibri"/>
        </w:rPr>
        <w:t xml:space="preserve">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A77826" w:rsidRDefault="00443708" w:rsidP="00443708">
      <w:pPr>
        <w:ind w:firstLine="709"/>
        <w:jc w:val="both"/>
        <w:rPr>
          <w:color w:val="000000"/>
        </w:rPr>
      </w:pPr>
      <w:r w:rsidRPr="00A77826">
        <w:rPr>
          <w:color w:val="000000"/>
        </w:rPr>
        <w:t>Для решения воспитательных и учебных задач преподавателем могут быть использованы следующие интерактивные формы:</w:t>
      </w:r>
    </w:p>
    <w:p w:rsidR="00443708" w:rsidRPr="00A77826" w:rsidRDefault="00443708" w:rsidP="00443708">
      <w:pPr>
        <w:ind w:firstLine="709"/>
        <w:jc w:val="both"/>
        <w:rPr>
          <w:color w:val="000000"/>
        </w:rPr>
      </w:pPr>
      <w:r w:rsidRPr="00A77826">
        <w:rPr>
          <w:color w:val="000000"/>
        </w:rPr>
        <w:t>- круглый стол (дискуссия, дебаты);</w:t>
      </w:r>
    </w:p>
    <w:p w:rsidR="00443708" w:rsidRPr="00A77826" w:rsidRDefault="00443708" w:rsidP="00443708">
      <w:pPr>
        <w:ind w:firstLine="709"/>
        <w:jc w:val="both"/>
        <w:rPr>
          <w:color w:val="000000"/>
        </w:rPr>
      </w:pPr>
      <w:r w:rsidRPr="00A77826">
        <w:rPr>
          <w:color w:val="000000"/>
        </w:rPr>
        <w:t>- мозговой штурм (</w:t>
      </w:r>
      <w:proofErr w:type="spellStart"/>
      <w:r w:rsidRPr="00A77826">
        <w:rPr>
          <w:color w:val="000000"/>
        </w:rPr>
        <w:t>брейнсторм</w:t>
      </w:r>
      <w:proofErr w:type="spellEnd"/>
      <w:r w:rsidRPr="00A77826">
        <w:rPr>
          <w:color w:val="000000"/>
        </w:rPr>
        <w:t>, мозговая атака):</w:t>
      </w:r>
    </w:p>
    <w:p w:rsidR="00443708" w:rsidRPr="00A77826" w:rsidRDefault="00443708" w:rsidP="00443708">
      <w:pPr>
        <w:ind w:firstLine="709"/>
        <w:jc w:val="both"/>
        <w:rPr>
          <w:color w:val="000000"/>
        </w:rPr>
      </w:pPr>
      <w:r w:rsidRPr="00A77826">
        <w:rPr>
          <w:color w:val="000000"/>
        </w:rPr>
        <w:t>- деловые и ролевые игры;</w:t>
      </w:r>
    </w:p>
    <w:p w:rsidR="00443708" w:rsidRPr="00A77826" w:rsidRDefault="00443708" w:rsidP="00443708">
      <w:pPr>
        <w:ind w:firstLine="709"/>
        <w:jc w:val="both"/>
        <w:rPr>
          <w:color w:val="000000"/>
        </w:rPr>
      </w:pPr>
      <w:r w:rsidRPr="00A77826">
        <w:rPr>
          <w:color w:val="000000"/>
        </w:rPr>
        <w:t xml:space="preserve">- </w:t>
      </w:r>
      <w:proofErr w:type="spellStart"/>
      <w:proofErr w:type="gramStart"/>
      <w:r w:rsidRPr="00A77826">
        <w:rPr>
          <w:color w:val="000000"/>
        </w:rPr>
        <w:t>с</w:t>
      </w:r>
      <w:proofErr w:type="gramEnd"/>
      <w:r w:rsidRPr="00A77826">
        <w:rPr>
          <w:color w:val="000000"/>
        </w:rPr>
        <w:t>ase-study</w:t>
      </w:r>
      <w:proofErr w:type="spellEnd"/>
      <w:r w:rsidRPr="00A77826">
        <w:rPr>
          <w:color w:val="000000"/>
        </w:rPr>
        <w:t xml:space="preserve"> (анализ конкретных ситуаций, ситуационный анализ):</w:t>
      </w:r>
    </w:p>
    <w:p w:rsidR="00443708" w:rsidRPr="00A77826" w:rsidRDefault="002B0052" w:rsidP="00443708">
      <w:pPr>
        <w:ind w:firstLine="709"/>
        <w:jc w:val="both"/>
        <w:rPr>
          <w:color w:val="000000"/>
        </w:rPr>
      </w:pPr>
      <w:r w:rsidRPr="00A77826">
        <w:rPr>
          <w:color w:val="000000"/>
        </w:rPr>
        <w:t>- мастер класс;</w:t>
      </w:r>
    </w:p>
    <w:p w:rsidR="002B0052" w:rsidRPr="00A77826" w:rsidRDefault="002B0052" w:rsidP="00443708">
      <w:pPr>
        <w:ind w:firstLine="709"/>
        <w:jc w:val="both"/>
        <w:rPr>
          <w:color w:val="000000"/>
        </w:rPr>
      </w:pPr>
      <w:r w:rsidRPr="00A77826">
        <w:rPr>
          <w:color w:val="000000"/>
        </w:rPr>
        <w:t>- коллоквиум.</w:t>
      </w:r>
    </w:p>
    <w:p w:rsidR="00443708" w:rsidRPr="00A77826" w:rsidRDefault="00443708" w:rsidP="00443708">
      <w:pPr>
        <w:ind w:firstLine="709"/>
        <w:jc w:val="both"/>
        <w:rPr>
          <w:color w:val="000000"/>
        </w:rPr>
      </w:pPr>
      <w:r w:rsidRPr="00A77826">
        <w:rPr>
          <w:color w:val="000000"/>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A77826" w:rsidRDefault="00443708" w:rsidP="00443708">
      <w:pPr>
        <w:ind w:firstLine="709"/>
        <w:jc w:val="both"/>
        <w:rPr>
          <w:color w:val="000000"/>
        </w:rPr>
      </w:pPr>
      <w:r w:rsidRPr="00A77826">
        <w:rPr>
          <w:color w:val="000000"/>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A77826" w:rsidRDefault="00A25E80" w:rsidP="00A25E80">
      <w:pPr>
        <w:ind w:firstLine="709"/>
        <w:jc w:val="both"/>
        <w:rPr>
          <w:color w:val="000000"/>
        </w:rPr>
      </w:pPr>
      <w:r w:rsidRPr="00A77826">
        <w:rPr>
          <w:b/>
          <w:bCs/>
          <w:color w:val="000000"/>
        </w:rPr>
        <w:t>Структура круглого стола</w:t>
      </w:r>
    </w:p>
    <w:p w:rsidR="00A25E80" w:rsidRPr="00A77826" w:rsidRDefault="00A25E80" w:rsidP="00A25E80">
      <w:pPr>
        <w:ind w:firstLine="709"/>
        <w:jc w:val="both"/>
        <w:rPr>
          <w:color w:val="000000"/>
        </w:rPr>
      </w:pPr>
      <w:r w:rsidRPr="00A77826">
        <w:rPr>
          <w:color w:val="000000"/>
        </w:rPr>
        <w:t>Круглый стол предполагает:</w:t>
      </w:r>
    </w:p>
    <w:p w:rsidR="00A25E80" w:rsidRPr="00A77826" w:rsidRDefault="00A25E80" w:rsidP="00A25E80">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A25E80" w:rsidRPr="00A77826" w:rsidRDefault="00A25E80" w:rsidP="00A25E80">
      <w:pPr>
        <w:ind w:firstLine="709"/>
        <w:jc w:val="both"/>
        <w:rPr>
          <w:color w:val="000000"/>
        </w:rPr>
      </w:pPr>
      <w:r w:rsidRPr="00A77826">
        <w:rPr>
          <w:color w:val="000000"/>
        </w:rPr>
        <w:t>2. наличие определенной позиции, теоретических знаний и практического опыта.</w:t>
      </w:r>
    </w:p>
    <w:p w:rsidR="00A25E80" w:rsidRPr="00A77826" w:rsidRDefault="00A25E80" w:rsidP="00A25E80">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A77826" w:rsidRDefault="00A25E80" w:rsidP="00A25E80">
      <w:pPr>
        <w:ind w:firstLine="709"/>
        <w:jc w:val="both"/>
        <w:rPr>
          <w:color w:val="000000"/>
        </w:rPr>
      </w:pPr>
      <w:r w:rsidRPr="00A77826">
        <w:rPr>
          <w:color w:val="000000"/>
        </w:rPr>
        <w:t>Таким образом, неотъемлемые составляющие круглого стола:</w:t>
      </w:r>
    </w:p>
    <w:p w:rsidR="00A25E80" w:rsidRPr="00A77826" w:rsidRDefault="00A25E80" w:rsidP="00A25E80">
      <w:pPr>
        <w:ind w:firstLine="709"/>
        <w:jc w:val="both"/>
        <w:rPr>
          <w:color w:val="000000"/>
        </w:rPr>
      </w:pPr>
      <w:r w:rsidRPr="00A77826">
        <w:rPr>
          <w:color w:val="000000"/>
        </w:rPr>
        <w:t>1. неразрешённый вопрос;</w:t>
      </w:r>
    </w:p>
    <w:p w:rsidR="00A25E80" w:rsidRPr="00A77826" w:rsidRDefault="00A25E80" w:rsidP="00A25E80">
      <w:pPr>
        <w:ind w:firstLine="709"/>
        <w:jc w:val="both"/>
        <w:rPr>
          <w:color w:val="000000"/>
        </w:rPr>
      </w:pPr>
      <w:r w:rsidRPr="00A77826">
        <w:rPr>
          <w:color w:val="000000"/>
        </w:rPr>
        <w:t>2. равноправное участие представителей всех заинтересованных сторон;</w:t>
      </w:r>
    </w:p>
    <w:p w:rsidR="00A25E80" w:rsidRPr="00A77826" w:rsidRDefault="00A25E80" w:rsidP="00A25E80">
      <w:pPr>
        <w:ind w:firstLine="709"/>
        <w:jc w:val="both"/>
        <w:rPr>
          <w:color w:val="000000"/>
        </w:rPr>
      </w:pPr>
      <w:r w:rsidRPr="00A77826">
        <w:rPr>
          <w:color w:val="000000"/>
        </w:rPr>
        <w:t>3. выработка приемлемых для всех участников решений по обсуждаемому вопросу.</w:t>
      </w:r>
    </w:p>
    <w:p w:rsidR="00A25E80" w:rsidRPr="00A77826" w:rsidRDefault="00A25E80" w:rsidP="00A25E80">
      <w:pPr>
        <w:ind w:firstLine="709"/>
        <w:jc w:val="both"/>
        <w:rPr>
          <w:color w:val="000000"/>
        </w:rPr>
      </w:pPr>
      <w:r w:rsidRPr="00A77826">
        <w:rPr>
          <w:color w:val="000000"/>
        </w:rPr>
        <w:t>При проведении «круглого стола» для достижения положительного результата и создания деловой атмосферы необходимо:</w:t>
      </w:r>
    </w:p>
    <w:p w:rsidR="00A25E80" w:rsidRPr="00A77826" w:rsidRDefault="00A25E80" w:rsidP="00A25E80">
      <w:pPr>
        <w:ind w:firstLine="709"/>
        <w:jc w:val="both"/>
        <w:rPr>
          <w:color w:val="000000"/>
        </w:rPr>
      </w:pPr>
      <w:proofErr w:type="gramStart"/>
      <w:r w:rsidRPr="00A77826">
        <w:rPr>
          <w:color w:val="000000"/>
        </w:rPr>
        <w:t>· Предусмотреть оптимальное количество участников (если круг специалистов большой, необходим не один ведущий, а два.</w:t>
      </w:r>
      <w:proofErr w:type="gramEnd"/>
    </w:p>
    <w:p w:rsidR="00A25E80" w:rsidRPr="00A77826" w:rsidRDefault="00A25E80" w:rsidP="00A25E80">
      <w:pPr>
        <w:ind w:firstLine="709"/>
        <w:jc w:val="both"/>
        <w:rPr>
          <w:color w:val="000000"/>
        </w:rPr>
      </w:pPr>
      <w:r w:rsidRPr="00A77826">
        <w:rPr>
          <w:color w:val="000000"/>
        </w:rPr>
        <w:t>· Обеспечить работу технических сре</w:t>
      </w:r>
      <w:proofErr w:type="gramStart"/>
      <w:r w:rsidRPr="00A77826">
        <w:rPr>
          <w:color w:val="000000"/>
        </w:rPr>
        <w:t>дств дл</w:t>
      </w:r>
      <w:proofErr w:type="gramEnd"/>
      <w:r w:rsidRPr="00A77826">
        <w:rPr>
          <w:color w:val="000000"/>
        </w:rPr>
        <w:t>я аудио- и видеозаписи.</w:t>
      </w:r>
    </w:p>
    <w:p w:rsidR="00A25E80" w:rsidRPr="00A77826" w:rsidRDefault="00A25E80" w:rsidP="00A25E80">
      <w:pPr>
        <w:ind w:firstLine="709"/>
        <w:jc w:val="both"/>
        <w:rPr>
          <w:color w:val="000000"/>
        </w:rPr>
      </w:pPr>
      <w:r w:rsidRPr="00A77826">
        <w:rPr>
          <w:color w:val="000000"/>
        </w:rPr>
        <w:t>· Установить регламент выступлений.</w:t>
      </w:r>
    </w:p>
    <w:p w:rsidR="00A25E80" w:rsidRPr="00A77826" w:rsidRDefault="00A25E80" w:rsidP="00A25E80">
      <w:pPr>
        <w:ind w:firstLine="709"/>
        <w:jc w:val="both"/>
        <w:rPr>
          <w:color w:val="000000"/>
        </w:rPr>
      </w:pPr>
      <w:r w:rsidRPr="00A77826">
        <w:rPr>
          <w:color w:val="000000"/>
        </w:rPr>
        <w:t xml:space="preserve">· Обеспечить соответствующее оформление аудитории (желательно, чтобы «круглый стол» был действительно круглым и коммуникации осуществлялись «лицом к </w:t>
      </w:r>
      <w:r w:rsidRPr="00A77826">
        <w:rPr>
          <w:color w:val="000000"/>
        </w:rPr>
        <w:lastRenderedPageBreak/>
        <w:t>лицу», что способствует групповому общению и максимальной вовлеченности в дискуссию.)</w:t>
      </w:r>
    </w:p>
    <w:p w:rsidR="00A25E80" w:rsidRPr="00A77826" w:rsidRDefault="00A25E80" w:rsidP="00A25E80">
      <w:pPr>
        <w:ind w:firstLine="709"/>
        <w:jc w:val="both"/>
        <w:rPr>
          <w:color w:val="000000"/>
        </w:rPr>
      </w:pPr>
      <w:r w:rsidRPr="00A77826">
        <w:rPr>
          <w:b/>
          <w:color w:val="000000"/>
        </w:rPr>
        <w:t>Мастер–класс</w:t>
      </w:r>
      <w:r w:rsidRPr="00A77826">
        <w:rPr>
          <w:color w:val="000000"/>
        </w:rPr>
        <w:t xml:space="preserve"> – это особый жанр обобщения и распространения педагогического опыта, представляющий </w:t>
      </w:r>
      <w:proofErr w:type="gramStart"/>
      <w:r w:rsidRPr="00A77826">
        <w:rPr>
          <w:color w:val="000000"/>
        </w:rPr>
        <w:t>собой</w:t>
      </w:r>
      <w:proofErr w:type="gramEnd"/>
      <w:r w:rsidRPr="00A77826">
        <w:rPr>
          <w:color w:val="000000"/>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A77826">
        <w:rPr>
          <w:color w:val="000000"/>
        </w:rPr>
        <w:t>проблемы</w:t>
      </w:r>
      <w:proofErr w:type="gramEnd"/>
      <w:r w:rsidRPr="00A77826">
        <w:rPr>
          <w:color w:val="000000"/>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A77826" w:rsidRDefault="00A25E80" w:rsidP="00A25E80">
      <w:pPr>
        <w:ind w:firstLine="709"/>
        <w:jc w:val="both"/>
        <w:rPr>
          <w:color w:val="000000"/>
        </w:rPr>
      </w:pPr>
      <w:r w:rsidRPr="00A77826">
        <w:rPr>
          <w:color w:val="000000"/>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A77826" w:rsidRDefault="00A25E80" w:rsidP="00A25E80">
      <w:pPr>
        <w:ind w:firstLine="709"/>
        <w:jc w:val="both"/>
        <w:rPr>
          <w:color w:val="000000"/>
        </w:rPr>
      </w:pPr>
      <w:r w:rsidRPr="00A77826">
        <w:rPr>
          <w:color w:val="000000"/>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A77826" w:rsidRDefault="00A25E80" w:rsidP="00A25E80">
      <w:pPr>
        <w:ind w:firstLine="709"/>
        <w:jc w:val="both"/>
        <w:rPr>
          <w:color w:val="000000"/>
        </w:rPr>
      </w:pPr>
      <w:r w:rsidRPr="00A77826">
        <w:rPr>
          <w:color w:val="000000"/>
        </w:rPr>
        <w:t>содержания при активной роли всех участников занятия.</w:t>
      </w:r>
    </w:p>
    <w:p w:rsidR="00A25E80" w:rsidRPr="00A77826" w:rsidRDefault="00A25E80" w:rsidP="00A25E80">
      <w:pPr>
        <w:ind w:firstLine="709"/>
        <w:jc w:val="both"/>
        <w:rPr>
          <w:color w:val="000000"/>
        </w:rPr>
      </w:pPr>
      <w:r w:rsidRPr="00A77826">
        <w:rPr>
          <w:color w:val="000000"/>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A77826" w:rsidRDefault="00A25E80" w:rsidP="00A25E80">
      <w:pPr>
        <w:ind w:firstLine="709"/>
        <w:jc w:val="both"/>
        <w:rPr>
          <w:color w:val="000000"/>
        </w:rPr>
      </w:pPr>
      <w:r w:rsidRPr="00A77826">
        <w:rPr>
          <w:color w:val="000000"/>
        </w:rPr>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A77826" w:rsidRDefault="00A25E80" w:rsidP="00A25E80">
      <w:pPr>
        <w:ind w:firstLine="709"/>
        <w:jc w:val="both"/>
        <w:rPr>
          <w:color w:val="000000"/>
        </w:rPr>
      </w:pPr>
      <w:r w:rsidRPr="00A77826">
        <w:rPr>
          <w:color w:val="000000"/>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A77826" w:rsidRDefault="00A25E80" w:rsidP="00A25E80">
      <w:pPr>
        <w:ind w:firstLine="709"/>
        <w:jc w:val="both"/>
        <w:rPr>
          <w:color w:val="000000"/>
        </w:rPr>
      </w:pPr>
      <w:r w:rsidRPr="00A77826">
        <w:rPr>
          <w:color w:val="000000"/>
        </w:rPr>
        <w:t xml:space="preserve">Основные научные идеи – </w:t>
      </w:r>
      <w:proofErr w:type="spellStart"/>
      <w:r w:rsidRPr="00A77826">
        <w:rPr>
          <w:color w:val="000000"/>
        </w:rPr>
        <w:t>деятельностный</w:t>
      </w:r>
      <w:proofErr w:type="spellEnd"/>
      <w:r w:rsidRPr="00A77826">
        <w:rPr>
          <w:color w:val="000000"/>
        </w:rPr>
        <w:t xml:space="preserve">, </w:t>
      </w:r>
      <w:proofErr w:type="spellStart"/>
      <w:r w:rsidRPr="00A77826">
        <w:rPr>
          <w:color w:val="000000"/>
        </w:rPr>
        <w:t>личностноориентированный</w:t>
      </w:r>
      <w:proofErr w:type="spellEnd"/>
      <w:r w:rsidRPr="00A77826">
        <w:rPr>
          <w:color w:val="000000"/>
        </w:rPr>
        <w:t>, исследовательский, рефлексивный подходы.</w:t>
      </w:r>
    </w:p>
    <w:p w:rsidR="00A25E80" w:rsidRPr="00A77826" w:rsidRDefault="00A25E80" w:rsidP="00A25E80">
      <w:pPr>
        <w:ind w:firstLine="709"/>
        <w:jc w:val="both"/>
        <w:rPr>
          <w:color w:val="000000"/>
        </w:rPr>
      </w:pPr>
      <w:r w:rsidRPr="00A77826">
        <w:rPr>
          <w:color w:val="000000"/>
        </w:rPr>
        <w:t>Последовательность действий – пошаговый алгоритм изучения авторской системы работы учителя-мастера.</w:t>
      </w:r>
    </w:p>
    <w:p w:rsidR="00A25E80" w:rsidRPr="00A77826" w:rsidRDefault="00A25E80" w:rsidP="00A25E80">
      <w:pPr>
        <w:ind w:firstLine="709"/>
        <w:jc w:val="both"/>
        <w:rPr>
          <w:color w:val="000000"/>
        </w:rPr>
      </w:pPr>
      <w:r w:rsidRPr="00A77826">
        <w:rPr>
          <w:color w:val="000000"/>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A77826" w:rsidRDefault="00A25E80" w:rsidP="00A25E80">
      <w:pPr>
        <w:ind w:firstLine="709"/>
        <w:jc w:val="both"/>
        <w:rPr>
          <w:color w:val="000000"/>
        </w:rPr>
      </w:pPr>
      <w:r w:rsidRPr="00A77826">
        <w:rPr>
          <w:color w:val="000000"/>
        </w:rPr>
        <w:t>Качественно новый результат – умение моделировать урок в режиме технологии, в которой эффективно работает мастер.</w:t>
      </w:r>
    </w:p>
    <w:p w:rsidR="00A25E80" w:rsidRPr="00A77826" w:rsidRDefault="00A25E80" w:rsidP="00A25E80">
      <w:pPr>
        <w:ind w:firstLine="709"/>
        <w:jc w:val="both"/>
        <w:rPr>
          <w:color w:val="000000"/>
        </w:rPr>
      </w:pPr>
      <w:r w:rsidRPr="00A77826">
        <w:rPr>
          <w:color w:val="000000"/>
        </w:rPr>
        <w:t>Тематика мастер-классов включает в себя:</w:t>
      </w:r>
    </w:p>
    <w:p w:rsidR="00A25E80" w:rsidRPr="00A77826" w:rsidRDefault="00A25E80" w:rsidP="00A25E80">
      <w:pPr>
        <w:ind w:firstLine="709"/>
        <w:jc w:val="both"/>
        <w:rPr>
          <w:color w:val="000000"/>
        </w:rPr>
      </w:pPr>
      <w:r w:rsidRPr="00A77826">
        <w:rPr>
          <w:color w:val="000000"/>
        </w:rPr>
        <w:t>- обзор актуальных проблем и технологий,</w:t>
      </w:r>
    </w:p>
    <w:p w:rsidR="00A25E80" w:rsidRPr="00A77826" w:rsidRDefault="00A25E80" w:rsidP="00A25E80">
      <w:pPr>
        <w:ind w:firstLine="709"/>
        <w:jc w:val="both"/>
        <w:rPr>
          <w:color w:val="000000"/>
        </w:rPr>
      </w:pPr>
      <w:r w:rsidRPr="00A77826">
        <w:rPr>
          <w:color w:val="000000"/>
        </w:rPr>
        <w:t>- различные аспекты и приемы использования технологий,</w:t>
      </w:r>
    </w:p>
    <w:p w:rsidR="00A25E80" w:rsidRPr="00A77826" w:rsidRDefault="00A25E80" w:rsidP="00A25E80">
      <w:pPr>
        <w:ind w:firstLine="709"/>
        <w:jc w:val="both"/>
        <w:rPr>
          <w:color w:val="000000"/>
        </w:rPr>
      </w:pPr>
      <w:r w:rsidRPr="00A77826">
        <w:rPr>
          <w:color w:val="000000"/>
        </w:rPr>
        <w:t>- авторские методы применения технологий на практике и др.</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научное собрание, на котором заслушиваются и обсуждаются доклады.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lastRenderedPageBreak/>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A77826"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w:t>
      </w:r>
      <w:r w:rsidRPr="00A77826">
        <w:lastRenderedPageBreak/>
        <w:t>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098" w:rsidRDefault="00D05098" w:rsidP="00E01DB3">
      <w:r>
        <w:separator/>
      </w:r>
    </w:p>
  </w:endnote>
  <w:endnote w:type="continuationSeparator" w:id="0">
    <w:p w:rsidR="00D05098" w:rsidRDefault="00D0509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A77826">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098" w:rsidRDefault="00D05098" w:rsidP="00E01DB3">
      <w:r>
        <w:separator/>
      </w:r>
    </w:p>
  </w:footnote>
  <w:footnote w:type="continuationSeparator" w:id="0">
    <w:p w:rsidR="00D05098" w:rsidRDefault="00D05098"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135F72"/>
    <w:rsid w:val="00175FAE"/>
    <w:rsid w:val="00181537"/>
    <w:rsid w:val="00184538"/>
    <w:rsid w:val="00196F2C"/>
    <w:rsid w:val="001A4E07"/>
    <w:rsid w:val="001E3150"/>
    <w:rsid w:val="001E3C09"/>
    <w:rsid w:val="0022283B"/>
    <w:rsid w:val="002B0052"/>
    <w:rsid w:val="002F58F5"/>
    <w:rsid w:val="0030061C"/>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73D0D"/>
    <w:rsid w:val="00A77732"/>
    <w:rsid w:val="00A77826"/>
    <w:rsid w:val="00AA471D"/>
    <w:rsid w:val="00AC6676"/>
    <w:rsid w:val="00B32005"/>
    <w:rsid w:val="00BF7EB6"/>
    <w:rsid w:val="00C25187"/>
    <w:rsid w:val="00C410D8"/>
    <w:rsid w:val="00C639C5"/>
    <w:rsid w:val="00C934CF"/>
    <w:rsid w:val="00CC13BF"/>
    <w:rsid w:val="00CD0125"/>
    <w:rsid w:val="00CF1BC5"/>
    <w:rsid w:val="00D00DA0"/>
    <w:rsid w:val="00D05098"/>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5573</Words>
  <Characters>31769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11</cp:revision>
  <cp:lastPrinted>2019-03-14T06:31:00Z</cp:lastPrinted>
  <dcterms:created xsi:type="dcterms:W3CDTF">2019-12-24T07:40:00Z</dcterms:created>
  <dcterms:modified xsi:type="dcterms:W3CDTF">2022-04-23T22:10:00Z</dcterms:modified>
</cp:coreProperties>
</file>