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«История государства и права зарубежных стран»</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8E7017" w:rsidP="00293744">
      <w:pPr>
        <w:suppressAutoHyphens/>
        <w:jc w:val="center"/>
        <w:rPr>
          <w:rFonts w:eastAsiaTheme="minorHAnsi"/>
          <w:i/>
          <w:szCs w:val="22"/>
          <w:u w:val="single"/>
          <w:lang w:eastAsia="en-US"/>
        </w:rPr>
      </w:pPr>
      <w:r>
        <w:rPr>
          <w:rFonts w:eastAsiaTheme="minorHAnsi"/>
          <w:i/>
          <w:szCs w:val="22"/>
          <w:u w:val="single"/>
          <w:lang w:eastAsia="en-US"/>
        </w:rPr>
        <w:t>Государственно-правовой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F56112">
        <w:rPr>
          <w:rFonts w:eastAsiaTheme="minorHAnsi"/>
          <w:szCs w:val="22"/>
          <w:lang w:eastAsia="en-US"/>
        </w:rPr>
        <w:t>22</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4D482A">
        <w:rPr>
          <w:rFonts w:eastAsia="Calibri"/>
          <w:sz w:val="28"/>
          <w:szCs w:val="28"/>
          <w:lang w:eastAsia="en-US"/>
        </w:rPr>
        <w:t xml:space="preserve">С.В. </w:t>
      </w:r>
      <w:proofErr w:type="spellStart"/>
      <w:r w:rsidR="004D482A">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F56112">
        <w:rPr>
          <w:rFonts w:eastAsia="Calibri"/>
          <w:sz w:val="28"/>
          <w:szCs w:val="28"/>
          <w:lang w:eastAsia="en-US"/>
        </w:rPr>
        <w:t>2</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293744">
        <w:rPr>
          <w:rFonts w:eastAsia="Calibri"/>
          <w:i/>
          <w:sz w:val="28"/>
          <w:szCs w:val="28"/>
          <w:lang w:eastAsia="en-US"/>
        </w:rPr>
        <w:t>История государства и права зарубежных стран</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D6409C" w:rsidP="00CE03C4">
            <w:pPr>
              <w:jc w:val="both"/>
              <w:rPr>
                <w:color w:val="000000"/>
                <w:spacing w:val="7"/>
              </w:rPr>
            </w:pPr>
            <w:r>
              <w:rPr>
                <w:color w:val="000000"/>
                <w:spacing w:val="7"/>
              </w:rPr>
              <w:t>9</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A22803" w:rsidRPr="00DE7842" w:rsidTr="00DE7842">
        <w:tc>
          <w:tcPr>
            <w:tcW w:w="9180" w:type="dxa"/>
          </w:tcPr>
          <w:p w:rsidR="00A22803" w:rsidRPr="00DE7842" w:rsidRDefault="00BD693F" w:rsidP="00B0360B">
            <w:pPr>
              <w:jc w:val="both"/>
              <w:rPr>
                <w:color w:val="000000"/>
                <w:spacing w:val="7"/>
              </w:rPr>
            </w:pPr>
            <w:r>
              <w:rPr>
                <w:color w:val="000000"/>
                <w:spacing w:val="7"/>
              </w:rPr>
              <w:t>9</w:t>
            </w:r>
            <w:r w:rsidR="00A22803" w:rsidRPr="00DE7842">
              <w:rPr>
                <w:color w:val="000000"/>
                <w:spacing w:val="7"/>
              </w:rPr>
              <w:t xml:space="preserve"> Методические указания по промежуточной аттестац</w:t>
            </w:r>
            <w:r w:rsidR="00DE7842">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D6409C">
              <w:rPr>
                <w:color w:val="000000"/>
                <w:spacing w:val="7"/>
              </w:rPr>
              <w:t>4</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B0360B" w:rsidRDefault="00B0360B" w:rsidP="00943F2B">
      <w:pPr>
        <w:rPr>
          <w:b/>
          <w:i/>
          <w:sz w:val="28"/>
          <w:szCs w:val="28"/>
        </w:rPr>
      </w:pPr>
    </w:p>
    <w:p w:rsidR="00BD693F" w:rsidRDefault="00BD693F" w:rsidP="0084282E">
      <w:pPr>
        <w:ind w:firstLine="709"/>
        <w:jc w:val="both"/>
        <w:rPr>
          <w:b/>
          <w:color w:val="000000"/>
          <w:spacing w:val="7"/>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 xml:space="preserve">Лекция является одним из наиболее важных видов учебных занятий. Основа теоретической подготовки по дисциплине «История </w:t>
      </w:r>
      <w:r>
        <w:t>государства и права зарубежных стран</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641D84" w:rsidRPr="0063169D" w:rsidRDefault="00B26B10" w:rsidP="0084282E">
      <w:pPr>
        <w:ind w:firstLine="709"/>
        <w:jc w:val="both"/>
        <w:rPr>
          <w:b/>
        </w:rPr>
      </w:pPr>
      <w:bookmarkStart w:id="1" w:name="_GoBack"/>
      <w:bookmarkEnd w:id="1"/>
      <w:r w:rsidRPr="0063169D">
        <w:rPr>
          <w:b/>
          <w:color w:val="000000"/>
          <w:spacing w:val="7"/>
        </w:rPr>
        <w:lastRenderedPageBreak/>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C72973" w:rsidRPr="00910081" w:rsidRDefault="00296425" w:rsidP="00910081">
      <w:pPr>
        <w:ind w:firstLine="567"/>
        <w:jc w:val="both"/>
      </w:pPr>
      <w:r w:rsidRPr="00910081">
        <w:t xml:space="preserve">Подготовка и проведение </w:t>
      </w:r>
      <w:r w:rsidRPr="00910081">
        <w:rPr>
          <w:b/>
        </w:rPr>
        <w:t>зачета</w:t>
      </w:r>
      <w:r w:rsidRPr="00910081">
        <w:t xml:space="preserve"> по дисциплине </w:t>
      </w:r>
    </w:p>
    <w:p w:rsidR="00910081" w:rsidRPr="00910081" w:rsidRDefault="00910081" w:rsidP="00910081">
      <w:pPr>
        <w:pStyle w:val="a9"/>
        <w:shd w:val="clear" w:color="auto" w:fill="FFFFFF"/>
        <w:spacing w:before="0" w:beforeAutospacing="0" w:after="0" w:afterAutospacing="0"/>
        <w:ind w:firstLine="709"/>
        <w:jc w:val="both"/>
      </w:pPr>
      <w:r w:rsidRPr="00910081">
        <w:rPr>
          <w:b/>
        </w:rPr>
        <w:t>Зачет</w:t>
      </w:r>
      <w:r w:rsidRPr="00910081">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Подготовка студента к зачету включает в себя три этапа: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аудиторная и внеаудиторная самостоятельная работа в течение семестра;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непосредственная подготовка в дни, предшествующие зачету по темам курса;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 подготовка к ответу на вопросы, содержащиеся в билетах.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910081" w:rsidRPr="00910081" w:rsidRDefault="00910081" w:rsidP="00910081">
      <w:pPr>
        <w:pStyle w:val="a9"/>
        <w:shd w:val="clear" w:color="auto" w:fill="FFFFFF"/>
        <w:spacing w:before="0" w:beforeAutospacing="0" w:after="0" w:afterAutospacing="0"/>
        <w:ind w:firstLine="709"/>
        <w:jc w:val="both"/>
      </w:pPr>
      <w:r w:rsidRPr="00910081">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910081" w:rsidRPr="00910081" w:rsidRDefault="00910081" w:rsidP="00910081">
      <w:pPr>
        <w:pStyle w:val="a9"/>
        <w:shd w:val="clear" w:color="auto" w:fill="FFFFFF"/>
        <w:spacing w:before="0" w:beforeAutospacing="0" w:after="0" w:afterAutospacing="0"/>
        <w:ind w:firstLine="709"/>
        <w:jc w:val="both"/>
      </w:pPr>
      <w:r w:rsidRPr="00910081">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910081" w:rsidRPr="00910081" w:rsidRDefault="00910081" w:rsidP="00910081">
      <w:pPr>
        <w:pStyle w:val="a9"/>
        <w:shd w:val="clear" w:color="auto" w:fill="FFFFFF"/>
        <w:spacing w:before="0" w:beforeAutospacing="0" w:after="0" w:afterAutospacing="0"/>
        <w:ind w:firstLine="709"/>
        <w:jc w:val="both"/>
      </w:pPr>
      <w:r w:rsidRPr="00910081">
        <w:t>При явке на зачет студенты обязаны иметь при себе зачетную книжку, а в необходимых случаях, определяемых кафедрами, и выполненные работы.</w:t>
      </w:r>
    </w:p>
    <w:p w:rsidR="00910081" w:rsidRPr="00910081" w:rsidRDefault="00910081" w:rsidP="00910081">
      <w:pPr>
        <w:pStyle w:val="a9"/>
        <w:shd w:val="clear" w:color="auto" w:fill="FFFFFF"/>
        <w:spacing w:before="0" w:beforeAutospacing="0" w:after="0" w:afterAutospacing="0"/>
        <w:ind w:firstLine="709"/>
        <w:jc w:val="both"/>
      </w:pPr>
      <w:r w:rsidRPr="00910081">
        <w:t>Зачет</w:t>
      </w:r>
      <w:r w:rsidRPr="00910081">
        <w:rPr>
          <w:bCs/>
        </w:rPr>
        <w:t xml:space="preserve"> проводятся по билетам</w:t>
      </w:r>
      <w:r w:rsidRPr="00910081">
        <w:t>, подписанным составителем билетов и утвержденным заведующим кафедрой, или тестовым заданиям, утвержденным в установленном порядке.</w:t>
      </w:r>
    </w:p>
    <w:p w:rsidR="00910081" w:rsidRPr="00910081" w:rsidRDefault="00910081" w:rsidP="00910081">
      <w:pPr>
        <w:pStyle w:val="a9"/>
        <w:shd w:val="clear" w:color="auto" w:fill="FFFFFF"/>
        <w:spacing w:before="0" w:beforeAutospacing="0" w:after="0" w:afterAutospacing="0"/>
        <w:ind w:firstLine="709"/>
        <w:jc w:val="both"/>
      </w:pPr>
      <w:r w:rsidRPr="00910081">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910081" w:rsidRPr="00910081" w:rsidRDefault="00910081" w:rsidP="00910081">
      <w:pPr>
        <w:pStyle w:val="a9"/>
        <w:shd w:val="clear" w:color="auto" w:fill="FFFFFF"/>
        <w:spacing w:before="0" w:beforeAutospacing="0" w:after="0" w:afterAutospacing="0"/>
        <w:ind w:firstLine="709"/>
        <w:jc w:val="both"/>
      </w:pPr>
      <w:r w:rsidRPr="00910081">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910081" w:rsidRPr="00910081" w:rsidRDefault="00910081" w:rsidP="00910081">
      <w:pPr>
        <w:pStyle w:val="a9"/>
        <w:shd w:val="clear" w:color="auto" w:fill="FFFFFF"/>
        <w:spacing w:before="0" w:beforeAutospacing="0" w:after="0" w:afterAutospacing="0"/>
        <w:ind w:firstLine="709"/>
        <w:jc w:val="both"/>
      </w:pPr>
      <w:proofErr w:type="gramStart"/>
      <w:r w:rsidRPr="00910081">
        <w:t>Сроки и порядок ликвидации академических задолженностей установлены </w:t>
      </w:r>
      <w:hyperlink r:id="rId8" w:history="1">
        <w:r w:rsidRPr="00910081">
          <w:rPr>
            <w:rStyle w:val="af0"/>
            <w:color w:val="auto"/>
            <w:u w:val="none"/>
          </w:rPr>
          <w:t>Положением об отчислении обучающихся из ОГУ</w:t>
        </w:r>
      </w:hyperlink>
      <w:r w:rsidRPr="00910081">
        <w:t>.</w:t>
      </w:r>
      <w:proofErr w:type="gramEnd"/>
    </w:p>
    <w:p w:rsidR="00910081" w:rsidRPr="00910081" w:rsidRDefault="00910081" w:rsidP="00910081">
      <w:pPr>
        <w:pStyle w:val="a9"/>
        <w:shd w:val="clear" w:color="auto" w:fill="FFFFFF"/>
        <w:spacing w:before="0" w:beforeAutospacing="0" w:after="0" w:afterAutospacing="0"/>
        <w:ind w:firstLine="709"/>
        <w:jc w:val="both"/>
      </w:pPr>
    </w:p>
    <w:p w:rsidR="00C72973" w:rsidRPr="00910081" w:rsidRDefault="00C72973" w:rsidP="00910081">
      <w:pPr>
        <w:ind w:firstLine="567"/>
        <w:jc w:val="both"/>
        <w:rPr>
          <w:rFonts w:ascii="Europe" w:hAnsi="Europe"/>
          <w:color w:val="000000"/>
        </w:rPr>
      </w:pPr>
    </w:p>
    <w:p w:rsidR="00C72973" w:rsidRPr="00910081" w:rsidRDefault="00C72973" w:rsidP="00910081">
      <w:pPr>
        <w:ind w:firstLine="567"/>
        <w:jc w:val="both"/>
        <w:rPr>
          <w:rFonts w:ascii="Europe" w:hAnsi="Europe"/>
          <w:color w:val="000000"/>
        </w:rPr>
      </w:pPr>
    </w:p>
    <w:sectPr w:rsidR="00C72973" w:rsidRPr="00910081" w:rsidSect="00221784">
      <w:footerReference w:type="default" r:id="rId9"/>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8C0" w:rsidRDefault="005B28C0" w:rsidP="00E01DB3">
      <w:r>
        <w:separator/>
      </w:r>
    </w:p>
  </w:endnote>
  <w:endnote w:type="continuationSeparator" w:id="0">
    <w:p w:rsidR="005B28C0" w:rsidRDefault="005B28C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D6409C">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8C0" w:rsidRDefault="005B28C0" w:rsidP="00E01DB3">
      <w:r>
        <w:separator/>
      </w:r>
    </w:p>
  </w:footnote>
  <w:footnote w:type="continuationSeparator" w:id="0">
    <w:p w:rsidR="005B28C0" w:rsidRDefault="005B28C0"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D40E4"/>
    <w:rsid w:val="0011465B"/>
    <w:rsid w:val="00133FC3"/>
    <w:rsid w:val="00181537"/>
    <w:rsid w:val="001C471D"/>
    <w:rsid w:val="001E3C09"/>
    <w:rsid w:val="00221784"/>
    <w:rsid w:val="00253B8C"/>
    <w:rsid w:val="00271930"/>
    <w:rsid w:val="00293744"/>
    <w:rsid w:val="00296425"/>
    <w:rsid w:val="002B78FD"/>
    <w:rsid w:val="002F58F5"/>
    <w:rsid w:val="00310E2E"/>
    <w:rsid w:val="00341690"/>
    <w:rsid w:val="00346785"/>
    <w:rsid w:val="0035490F"/>
    <w:rsid w:val="00373E25"/>
    <w:rsid w:val="003A17C2"/>
    <w:rsid w:val="003E394C"/>
    <w:rsid w:val="0040005F"/>
    <w:rsid w:val="004269E2"/>
    <w:rsid w:val="00437213"/>
    <w:rsid w:val="00456FAD"/>
    <w:rsid w:val="00466BFC"/>
    <w:rsid w:val="0047159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E3681"/>
    <w:rsid w:val="005F22EC"/>
    <w:rsid w:val="005F3CC6"/>
    <w:rsid w:val="00626885"/>
    <w:rsid w:val="0063169D"/>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E03C4"/>
    <w:rsid w:val="00CF285D"/>
    <w:rsid w:val="00CF42AF"/>
    <w:rsid w:val="00CF72E3"/>
    <w:rsid w:val="00D533CD"/>
    <w:rsid w:val="00D6409C"/>
    <w:rsid w:val="00D90FC4"/>
    <w:rsid w:val="00D950CD"/>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2889"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14</Pages>
  <Words>5531</Words>
  <Characters>31530</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24</cp:revision>
  <cp:lastPrinted>2019-03-14T06:31:00Z</cp:lastPrinted>
  <dcterms:created xsi:type="dcterms:W3CDTF">2019-10-28T04:46:00Z</dcterms:created>
  <dcterms:modified xsi:type="dcterms:W3CDTF">2022-04-24T21:46:00Z</dcterms:modified>
</cp:coreProperties>
</file>