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Государственно-правовой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w:t>
      </w:r>
      <w:r>
        <w:t>а</w:t>
      </w:r>
      <w:r>
        <w:t xml:space="preserve"> и экзамен</w:t>
      </w:r>
      <w:r>
        <w:t>а</w:t>
      </w:r>
      <w:r>
        <w:t xml:space="preserve"> в аудитории должны находиться: рабочая программа дисц</w:t>
      </w:r>
      <w:r>
        <w:t>иплины</w:t>
      </w:r>
      <w:r>
        <w:t>,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w:t>
      </w:r>
      <w:r>
        <w:t xml:space="preserve">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w:t>
      </w:r>
      <w:r>
        <w:rPr>
          <w:bCs/>
        </w:rPr>
        <w:t xml:space="preserve">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w:t>
      </w:r>
      <w:r>
        <w:t>а</w:t>
      </w:r>
      <w:r>
        <w:t xml:space="preserve"> и зачет</w:t>
      </w:r>
      <w:r>
        <w:t>а</w:t>
      </w:r>
      <w:r>
        <w:t xml:space="preserve">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bookmarkStart w:id="1" w:name="_GoBack"/>
      <w:bookmarkEnd w:id="1"/>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15D" w:rsidRDefault="005D315D" w:rsidP="00E01DB3">
      <w:r>
        <w:separator/>
      </w:r>
    </w:p>
  </w:endnote>
  <w:endnote w:type="continuationSeparator" w:id="0">
    <w:p w:rsidR="005D315D" w:rsidRDefault="005D315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8B375D">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15D" w:rsidRDefault="005D315D" w:rsidP="00E01DB3">
      <w:r>
        <w:separator/>
      </w:r>
    </w:p>
  </w:footnote>
  <w:footnote w:type="continuationSeparator" w:id="0">
    <w:p w:rsidR="005D315D" w:rsidRDefault="005D315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8141</Words>
  <Characters>46409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27</cp:revision>
  <cp:lastPrinted>2019-03-14T06:31:00Z</cp:lastPrinted>
  <dcterms:created xsi:type="dcterms:W3CDTF">2019-10-28T04:46:00Z</dcterms:created>
  <dcterms:modified xsi:type="dcterms:W3CDTF">2022-04-24T22:23:00Z</dcterms:modified>
</cp:coreProperties>
</file>