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39B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A2091" w:rsidRDefault="00817B00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DD39B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0534A2" w:rsidRPr="001A6376" w:rsidRDefault="000534A2" w:rsidP="000534A2">
      <w:pPr>
        <w:pStyle w:val="ReportHead"/>
        <w:suppressAutoHyphens/>
        <w:jc w:val="both"/>
        <w:rPr>
          <w:szCs w:val="28"/>
        </w:rPr>
      </w:pPr>
      <w:r w:rsidRPr="001A6376">
        <w:rPr>
          <w:rFonts w:eastAsia="Times New Roman"/>
          <w:szCs w:val="28"/>
          <w:lang w:eastAsia="ru-RU"/>
        </w:rPr>
        <w:t xml:space="preserve">Методические указания содержат рекомендации по освоению дисциплины «Тайм-менеджмент» бакалаврами очной формы обучения направления подготовки </w:t>
      </w:r>
      <w:r w:rsidR="004728A9">
        <w:rPr>
          <w:rFonts w:eastAsia="Times New Roman"/>
          <w:szCs w:val="28"/>
          <w:lang w:eastAsia="ru-RU"/>
        </w:rPr>
        <w:t>15</w:t>
      </w:r>
      <w:r w:rsidRPr="001A6376">
        <w:rPr>
          <w:szCs w:val="28"/>
        </w:rPr>
        <w:t>.0</w:t>
      </w:r>
      <w:r w:rsidR="004728A9">
        <w:rPr>
          <w:szCs w:val="28"/>
        </w:rPr>
        <w:t>3</w:t>
      </w:r>
      <w:r w:rsidRPr="001A6376">
        <w:rPr>
          <w:szCs w:val="28"/>
        </w:rPr>
        <w:t>.0</w:t>
      </w:r>
      <w:r w:rsidR="004728A9">
        <w:rPr>
          <w:szCs w:val="28"/>
        </w:rPr>
        <w:t>2</w:t>
      </w:r>
      <w:r w:rsidRPr="001A6376">
        <w:rPr>
          <w:szCs w:val="28"/>
        </w:rPr>
        <w:t xml:space="preserve"> «</w:t>
      </w:r>
      <w:r w:rsidR="004728A9">
        <w:rPr>
          <w:szCs w:val="28"/>
        </w:rPr>
        <w:t>Технологические машины и оборудование</w:t>
      </w:r>
      <w:r w:rsidRPr="001A6376">
        <w:rPr>
          <w:rFonts w:eastAsia="Times New Roman"/>
          <w:szCs w:val="28"/>
          <w:lang w:eastAsia="ru-RU"/>
        </w:rPr>
        <w:t>», профиль «</w:t>
      </w:r>
      <w:r w:rsidR="004728A9">
        <w:rPr>
          <w:rFonts w:eastAsia="Times New Roman"/>
          <w:szCs w:val="28"/>
          <w:lang w:eastAsia="ru-RU"/>
        </w:rPr>
        <w:t>Машины и аппараты пищевых производств</w:t>
      </w:r>
      <w:bookmarkStart w:id="0" w:name="_GoBack"/>
      <w:bookmarkEnd w:id="0"/>
      <w:r w:rsidRPr="001A6376">
        <w:rPr>
          <w:rFonts w:eastAsia="Times New Roman"/>
          <w:szCs w:val="28"/>
          <w:lang w:eastAsia="ru-RU"/>
        </w:rPr>
        <w:t xml:space="preserve">». </w:t>
      </w:r>
    </w:p>
    <w:p w:rsidR="000534A2" w:rsidRDefault="000534A2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DD39B1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07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</w:t>
      </w:r>
      <w:r w:rsidR="00281A5B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DD39B1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817B0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817B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_Toc535478627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УК-6-В-1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П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онимает важность планирования целей собственной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УК-6-В-2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Р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еализует намеченные цели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</w:r>
    </w:p>
    <w:p w:rsidR="006C1953" w:rsidRPr="006C1953" w:rsidRDefault="006C1953" w:rsidP="006C195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sz w:val="24"/>
        </w:rPr>
      </w:pPr>
      <w:r w:rsidRPr="006C1953">
        <w:rPr>
          <w:rFonts w:ascii="Times New Roman" w:eastAsia="Calibri" w:hAnsi="Times New Roman" w:cs="Times New Roman"/>
          <w:sz w:val="24"/>
        </w:rPr>
        <w:t>УК-6-В-3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Д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емонстрирует интерес к учебе и использует предоставляемые возможности для приобретения новых знаний и навыков</w:t>
      </w:r>
    </w:p>
    <w:p w:rsidR="006C1953" w:rsidRDefault="006C1953" w:rsidP="006C19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953">
        <w:rPr>
          <w:rFonts w:ascii="Times New Roman" w:eastAsia="Calibri" w:hAnsi="Times New Roman" w:cs="Times New Roman"/>
          <w:sz w:val="24"/>
        </w:rPr>
        <w:t>УК-6-В-4</w:t>
      </w:r>
      <w:proofErr w:type="gramStart"/>
      <w:r w:rsidRPr="006C1953">
        <w:rPr>
          <w:rFonts w:ascii="Times New Roman" w:eastAsia="Calibri" w:hAnsi="Times New Roman" w:cs="Times New Roman"/>
          <w:sz w:val="24"/>
        </w:rPr>
        <w:t xml:space="preserve"> К</w:t>
      </w:r>
      <w:proofErr w:type="gramEnd"/>
      <w:r w:rsidRPr="006C1953">
        <w:rPr>
          <w:rFonts w:ascii="Times New Roman" w:eastAsia="Calibri" w:hAnsi="Times New Roman" w:cs="Times New Roman"/>
          <w:sz w:val="24"/>
        </w:rPr>
        <w:t>ритически оценивает эффективность использования времени при решении поставленных задач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9C250E" w:rsidRPr="009C250E" w:rsidTr="009C250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4" w:type="dxa"/>
            <w:gridSpan w:val="5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881" w:type="dxa"/>
            <w:gridSpan w:val="3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9C250E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9C250E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0D189A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0D18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Значение 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proofErr w:type="spellEnd"/>
      <w:r w:rsidR="009C3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F97A02" w:rsidRPr="00F97A02" w:rsidRDefault="00F97A02" w:rsidP="00F97A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F97A02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Pr="00F97A02">
        <w:rPr>
          <w:rFonts w:ascii="Times New Roman" w:eastAsia="Calibri" w:hAnsi="Times New Roman" w:cs="Times New Roman"/>
          <w:b/>
          <w:bCs/>
          <w:sz w:val="28"/>
          <w:szCs w:val="28"/>
        </w:rPr>
        <w:t>Тайм-менеджмент</w:t>
      </w:r>
      <w:r w:rsidRPr="00F97A02">
        <w:rPr>
          <w:rFonts w:ascii="Times New Roman" w:eastAsia="Calibri" w:hAnsi="Times New Roman" w:cs="Times New Roman"/>
          <w:color w:val="454545"/>
          <w:sz w:val="28"/>
          <w:szCs w:val="28"/>
        </w:rPr>
        <w:t> </w:t>
      </w:r>
      <w:r w:rsidRPr="00F97A02">
        <w:rPr>
          <w:rFonts w:ascii="Times New Roman" w:eastAsia="Calibri" w:hAnsi="Times New Roman" w:cs="Times New Roman"/>
          <w:sz w:val="28"/>
          <w:szCs w:val="28"/>
        </w:rPr>
        <w:t>[Электронный ресурс]</w:t>
      </w:r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учебное пособие для обучающихся по образовательной программе высшего образования по направлению подготовки 38.03.02 Менеджмент / И. Н.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Корабейников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, Н. Е.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Рябикова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; М-во науки и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высш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. образования Рос. Федерации,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>. гос. бюджет</w:t>
      </w:r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>бразоват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. учреждение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высш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>. образования "Оренбург. гос. ун-т". - Оренбург</w:t>
      </w:r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ОГУ. - 2020. - ISBN 978-5-7410-2484-3. - 121 </w:t>
      </w:r>
      <w:proofErr w:type="gramStart"/>
      <w:r w:rsidRPr="00F97A02">
        <w:rPr>
          <w:rFonts w:ascii="Times New Roman" w:eastAsia="Calibri" w:hAnsi="Times New Roman" w:cs="Times New Roman"/>
          <w:sz w:val="28"/>
          <w:szCs w:val="28"/>
        </w:rPr>
        <w:t>с-</w:t>
      </w:r>
      <w:proofErr w:type="gram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Загл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 xml:space="preserve">. с </w:t>
      </w:r>
      <w:proofErr w:type="spellStart"/>
      <w:r w:rsidRPr="00F97A02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F97A02">
        <w:rPr>
          <w:rFonts w:ascii="Times New Roman" w:eastAsia="Calibri" w:hAnsi="Times New Roman" w:cs="Times New Roman"/>
          <w:sz w:val="28"/>
          <w:szCs w:val="28"/>
        </w:rPr>
        <w:t>. экрана.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9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B00" w:rsidRDefault="00817B00" w:rsidP="00783106">
      <w:pPr>
        <w:spacing w:after="0" w:line="240" w:lineRule="auto"/>
      </w:pPr>
      <w:r>
        <w:separator/>
      </w:r>
    </w:p>
  </w:endnote>
  <w:endnote w:type="continuationSeparator" w:id="0">
    <w:p w:rsidR="00817B00" w:rsidRDefault="00817B00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4728A9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B00" w:rsidRDefault="00817B00" w:rsidP="00783106">
      <w:pPr>
        <w:spacing w:after="0" w:line="240" w:lineRule="auto"/>
      </w:pPr>
      <w:r>
        <w:separator/>
      </w:r>
    </w:p>
  </w:footnote>
  <w:footnote w:type="continuationSeparator" w:id="0">
    <w:p w:rsidR="00817B00" w:rsidRDefault="00817B00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2635B"/>
    <w:rsid w:val="000534A2"/>
    <w:rsid w:val="00067713"/>
    <w:rsid w:val="000A17BE"/>
    <w:rsid w:val="000B7B53"/>
    <w:rsid w:val="000C50B9"/>
    <w:rsid w:val="000D189A"/>
    <w:rsid w:val="000E5DD2"/>
    <w:rsid w:val="000F1E7B"/>
    <w:rsid w:val="00111391"/>
    <w:rsid w:val="001205B0"/>
    <w:rsid w:val="0015113F"/>
    <w:rsid w:val="00164D58"/>
    <w:rsid w:val="001848D6"/>
    <w:rsid w:val="001932F3"/>
    <w:rsid w:val="001C499A"/>
    <w:rsid w:val="001C7776"/>
    <w:rsid w:val="001D5E61"/>
    <w:rsid w:val="001E3174"/>
    <w:rsid w:val="0020610B"/>
    <w:rsid w:val="00243632"/>
    <w:rsid w:val="00273F3E"/>
    <w:rsid w:val="00281A5B"/>
    <w:rsid w:val="00294E53"/>
    <w:rsid w:val="002D5503"/>
    <w:rsid w:val="002D59D7"/>
    <w:rsid w:val="003170F5"/>
    <w:rsid w:val="00382F6D"/>
    <w:rsid w:val="003C7C16"/>
    <w:rsid w:val="004065E7"/>
    <w:rsid w:val="00411762"/>
    <w:rsid w:val="004203E8"/>
    <w:rsid w:val="00452D42"/>
    <w:rsid w:val="004728A9"/>
    <w:rsid w:val="004A2636"/>
    <w:rsid w:val="004B372D"/>
    <w:rsid w:val="004E6360"/>
    <w:rsid w:val="005227F0"/>
    <w:rsid w:val="00545970"/>
    <w:rsid w:val="00560B1E"/>
    <w:rsid w:val="005A55DF"/>
    <w:rsid w:val="005A78B6"/>
    <w:rsid w:val="00612466"/>
    <w:rsid w:val="00685B94"/>
    <w:rsid w:val="006A2091"/>
    <w:rsid w:val="006C1953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F17E8"/>
    <w:rsid w:val="007F3E4C"/>
    <w:rsid w:val="00817B00"/>
    <w:rsid w:val="00850C0D"/>
    <w:rsid w:val="008608E1"/>
    <w:rsid w:val="00866741"/>
    <w:rsid w:val="008E74A6"/>
    <w:rsid w:val="008F673E"/>
    <w:rsid w:val="00921927"/>
    <w:rsid w:val="00945F8F"/>
    <w:rsid w:val="00984AF5"/>
    <w:rsid w:val="009C250E"/>
    <w:rsid w:val="009C3175"/>
    <w:rsid w:val="009C4DD7"/>
    <w:rsid w:val="00A04C6D"/>
    <w:rsid w:val="00A23051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AF2DBF"/>
    <w:rsid w:val="00B557A2"/>
    <w:rsid w:val="00B73B94"/>
    <w:rsid w:val="00B77510"/>
    <w:rsid w:val="00B860D3"/>
    <w:rsid w:val="00B86C36"/>
    <w:rsid w:val="00B95201"/>
    <w:rsid w:val="00BB5940"/>
    <w:rsid w:val="00C20069"/>
    <w:rsid w:val="00C53F80"/>
    <w:rsid w:val="00C63D28"/>
    <w:rsid w:val="00C70147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A61CD"/>
    <w:rsid w:val="00DC1DFB"/>
    <w:rsid w:val="00DD1881"/>
    <w:rsid w:val="00DD39B1"/>
    <w:rsid w:val="00DE3873"/>
    <w:rsid w:val="00DE67A3"/>
    <w:rsid w:val="00E02E72"/>
    <w:rsid w:val="00E22C0D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97A02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0534A2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0534A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RL:http://biblioclub.ru/index.php?page=book&amp;id=23515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nanium.com/catalog/product/9272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4A97-0E7E-4724-8910-5C1A5D4D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20</Pages>
  <Words>3767</Words>
  <Characters>21477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63</cp:revision>
  <cp:lastPrinted>2020-12-22T12:15:00Z</cp:lastPrinted>
  <dcterms:created xsi:type="dcterms:W3CDTF">2019-04-02T17:55:00Z</dcterms:created>
  <dcterms:modified xsi:type="dcterms:W3CDTF">2022-04-02T09:03:00Z</dcterms:modified>
</cp:coreProperties>
</file>