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proofErr w:type="spellStart"/>
      <w:r w:rsidRPr="00294BD3">
        <w:rPr>
          <w:rFonts w:eastAsia="Calibri" w:cs="Times New Roman"/>
          <w:sz w:val="24"/>
        </w:rPr>
        <w:t>Минобрнауки</w:t>
      </w:r>
      <w:proofErr w:type="spellEnd"/>
      <w:r w:rsidRPr="00294BD3">
        <w:rPr>
          <w:rFonts w:eastAsia="Calibri" w:cs="Times New Roman"/>
          <w:sz w:val="24"/>
        </w:rPr>
        <w:t xml:space="preserve"> России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 xml:space="preserve">Методические указания для </w:t>
      </w:r>
      <w:proofErr w:type="gramStart"/>
      <w:r w:rsidRPr="00294BD3">
        <w:rPr>
          <w:rFonts w:eastAsia="Calibri" w:cs="Times New Roman"/>
          <w:szCs w:val="28"/>
        </w:rPr>
        <w:t>обучающихся</w:t>
      </w:r>
      <w:proofErr w:type="gramEnd"/>
      <w:r w:rsidRPr="00294BD3">
        <w:rPr>
          <w:rFonts w:eastAsia="Calibri" w:cs="Times New Roman"/>
          <w:szCs w:val="28"/>
        </w:rPr>
        <w:t xml:space="preserve">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</w:t>
      </w:r>
      <w:proofErr w:type="gramStart"/>
      <w:r w:rsidR="00CE6B54">
        <w:rPr>
          <w:i/>
          <w:sz w:val="24"/>
        </w:rPr>
        <w:t>1</w:t>
      </w:r>
      <w:proofErr w:type="gramEnd"/>
      <w:r w:rsidR="00CE6B54">
        <w:rPr>
          <w:i/>
          <w:sz w:val="24"/>
        </w:rPr>
        <w:t>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:rsidR="00FC7ABD" w:rsidRPr="00FC7ABD" w:rsidRDefault="00FC7ABD" w:rsidP="00FC7ABD">
      <w:pPr>
        <w:pStyle w:val="ReportHead"/>
        <w:suppressAutoHyphens/>
        <w:rPr>
          <w:i/>
          <w:sz w:val="24"/>
          <w:szCs w:val="24"/>
          <w:u w:val="single"/>
        </w:rPr>
      </w:pPr>
      <w:r w:rsidRPr="00FC7ABD">
        <w:rPr>
          <w:i/>
          <w:sz w:val="24"/>
          <w:szCs w:val="24"/>
          <w:u w:val="single"/>
        </w:rPr>
        <w:t>Уголовно-правовой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A77E21">
        <w:rPr>
          <w:rFonts w:eastAsia="Calibri" w:cs="Times New Roman"/>
          <w:sz w:val="24"/>
          <w:szCs w:val="24"/>
        </w:rPr>
        <w:t>2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F963B9" w:rsidRDefault="00F963B9" w:rsidP="00294BD3">
      <w:pPr>
        <w:rPr>
          <w:rFonts w:eastAsia="Calibri" w:cs="Times New Roman"/>
          <w:sz w:val="24"/>
          <w:szCs w:val="24"/>
        </w:rPr>
      </w:pPr>
    </w:p>
    <w:p w:rsidR="00F963B9" w:rsidRDefault="00F963B9" w:rsidP="00294BD3">
      <w:pPr>
        <w:rPr>
          <w:rFonts w:eastAsia="Calibri" w:cs="Times New Roman"/>
          <w:sz w:val="24"/>
          <w:szCs w:val="24"/>
        </w:rPr>
      </w:pPr>
    </w:p>
    <w:p w:rsidR="00F963B9" w:rsidRDefault="00F963B9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bookmarkStart w:id="0" w:name="_GoBack"/>
      <w:bookmarkEnd w:id="0"/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:rsidR="008F2F55" w:rsidRPr="00D111DF" w:rsidRDefault="008F2F55" w:rsidP="008F2F55">
      <w:pPr>
        <w:ind w:firstLine="567"/>
        <w:jc w:val="center"/>
        <w:rPr>
          <w:szCs w:val="28"/>
        </w:rPr>
      </w:pPr>
    </w:p>
    <w:p w:rsidR="008F2F55" w:rsidRDefault="008F2F55" w:rsidP="008F2F55">
      <w:pPr>
        <w:ind w:firstLine="567"/>
        <w:jc w:val="center"/>
        <w:rPr>
          <w:szCs w:val="28"/>
        </w:rPr>
      </w:pPr>
    </w:p>
    <w:p w:rsidR="001648A7" w:rsidRDefault="001648A7" w:rsidP="008F2F55">
      <w:pPr>
        <w:pStyle w:val="ReportHead"/>
        <w:suppressAutoHyphens/>
        <w:rPr>
          <w:szCs w:val="28"/>
        </w:rPr>
      </w:pPr>
    </w:p>
    <w:p w:rsidR="008F2F55" w:rsidRPr="008F2F55" w:rsidRDefault="008F2F55" w:rsidP="008F2F55">
      <w:pPr>
        <w:pStyle w:val="ReportHead"/>
        <w:suppressAutoHyphens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Pr="00D111DF" w:rsidRDefault="00367DEE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Default="008F2F55" w:rsidP="008F2F55">
      <w:pPr>
        <w:ind w:firstLine="567"/>
        <w:rPr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:rsidR="00993E14" w:rsidRDefault="002652A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5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6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993E14" w:rsidRDefault="0049251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9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:rsidR="00646B95" w:rsidRPr="00B7551E" w:rsidRDefault="002652AD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:rsidR="00646B95" w:rsidRPr="00B7551E" w:rsidRDefault="00646B95" w:rsidP="00646B95">
      <w:pPr>
        <w:jc w:val="center"/>
        <w:rPr>
          <w:szCs w:val="28"/>
        </w:rPr>
      </w:pPr>
    </w:p>
    <w:p w:rsidR="00646B95" w:rsidRPr="00B7551E" w:rsidRDefault="00646B95" w:rsidP="00646B95">
      <w:pPr>
        <w:jc w:val="center"/>
        <w:rPr>
          <w:szCs w:val="28"/>
        </w:rPr>
      </w:pPr>
    </w:p>
    <w:p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Pr="007C7B47" w:rsidRDefault="007C7B47" w:rsidP="005047EC">
      <w:pPr>
        <w:pStyle w:val="1"/>
      </w:pPr>
      <w:bookmarkStart w:id="1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5047EC">
      <w:pPr>
        <w:pStyle w:val="1"/>
      </w:pPr>
      <w:bookmarkStart w:id="2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2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455E9" w:rsidRDefault="00E455E9" w:rsidP="005047EC">
      <w:pPr>
        <w:pStyle w:val="1"/>
      </w:pPr>
      <w:bookmarkStart w:id="3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3"/>
    </w:p>
    <w:p w:rsidR="00E455E9" w:rsidRDefault="00E455E9" w:rsidP="00E455E9">
      <w:pPr>
        <w:ind w:firstLine="568"/>
        <w:rPr>
          <w:color w:val="000000"/>
        </w:rPr>
      </w:pP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E455E9">
        <w:rPr>
          <w:sz w:val="24"/>
          <w:szCs w:val="24"/>
        </w:rPr>
        <w:t>обучающихся</w:t>
      </w:r>
      <w:proofErr w:type="gramEnd"/>
      <w:r w:rsidRPr="00E455E9">
        <w:rPr>
          <w:sz w:val="24"/>
          <w:szCs w:val="24"/>
        </w:rPr>
        <w:t>.</w:t>
      </w:r>
    </w:p>
    <w:p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E455E9" w:rsidRDefault="00E455E9" w:rsidP="00E455E9"/>
    <w:p w:rsidR="007C7B47" w:rsidRPr="007C7B47" w:rsidRDefault="00F05DAE" w:rsidP="005047EC">
      <w:pPr>
        <w:pStyle w:val="1"/>
      </w:pPr>
      <w:bookmarkStart w:id="4" w:name="_Toc9345627"/>
      <w:r>
        <w:t>4</w:t>
      </w:r>
      <w:r w:rsidRPr="00A64A14">
        <w:t xml:space="preserve"> </w:t>
      </w:r>
      <w:bookmarkStart w:id="5" w:name="_Toc9345628"/>
      <w:bookmarkEnd w:id="4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5"/>
      <w:r w:rsidR="007C7B47"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выполнение научной работы, участие в научных исследованиях, проводимых в рамках студенческого научного общества.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  <w:proofErr w:type="gramEnd"/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Освоение компьютерных информационно-правовых баз данных;</w:t>
      </w:r>
      <w:proofErr w:type="gramEnd"/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BC5F2C" w:rsidP="005047EC">
      <w:pPr>
        <w:pStyle w:val="1"/>
      </w:pPr>
      <w:bookmarkStart w:id="6" w:name="_Toc512340196"/>
      <w:bookmarkStart w:id="7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6"/>
      <w:bookmarkEnd w:id="7"/>
      <w:r w:rsidR="00A64A14" w:rsidRPr="00A64A14">
        <w:t xml:space="preserve">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9E0A99" w:rsidRPr="009E0A99" w:rsidRDefault="00BC5F2C" w:rsidP="009E0A99">
      <w:pPr>
        <w:pStyle w:val="1"/>
      </w:pPr>
      <w:bookmarkStart w:id="8" w:name="_Toc6130229"/>
      <w:bookmarkStart w:id="9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8"/>
      <w:bookmarkEnd w:id="9"/>
    </w:p>
    <w:p w:rsidR="009E0A99" w:rsidRDefault="00BC5F2C" w:rsidP="00BC5F2C">
      <w:pPr>
        <w:pStyle w:val="2"/>
        <w:ind w:firstLine="709"/>
      </w:pPr>
      <w:bookmarkStart w:id="10" w:name="_Toc6130230"/>
      <w:bookmarkStart w:id="11" w:name="_Toc9345631"/>
      <w:r>
        <w:t>6</w:t>
      </w:r>
      <w:r w:rsidR="009E0A99" w:rsidRPr="009E0A99">
        <w:t>.1 Подготовка к рубежным контролям</w:t>
      </w:r>
      <w:bookmarkEnd w:id="10"/>
      <w:bookmarkEnd w:id="11"/>
    </w:p>
    <w:p w:rsidR="009E0A99" w:rsidRPr="009E0A99" w:rsidRDefault="009E0A99" w:rsidP="009E0A99"/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BC5F2C" w:rsidP="00BC5F2C">
      <w:pPr>
        <w:pStyle w:val="2"/>
        <w:ind w:firstLine="709"/>
      </w:pPr>
      <w:bookmarkStart w:id="12" w:name="_Toc6130231"/>
      <w:bookmarkStart w:id="13" w:name="_Toc9345632"/>
      <w:r>
        <w:t>6</w:t>
      </w:r>
      <w:r w:rsidR="009E0A99" w:rsidRPr="009E0A99">
        <w:t>.2 Подготовка к зачету</w:t>
      </w:r>
      <w:bookmarkEnd w:id="12"/>
      <w:bookmarkEnd w:id="13"/>
    </w:p>
    <w:p w:rsidR="009E0A99" w:rsidRPr="009E0A99" w:rsidRDefault="009E0A99" w:rsidP="009E0A99"/>
    <w:p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10" w:rsidRDefault="00492510" w:rsidP="00305E26">
      <w:r>
        <w:separator/>
      </w:r>
    </w:p>
  </w:endnote>
  <w:endnote w:type="continuationSeparator" w:id="0">
    <w:p w:rsidR="00492510" w:rsidRDefault="00492510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305E26" w:rsidRDefault="002652AD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F963B9">
          <w:rPr>
            <w:noProof/>
          </w:rPr>
          <w:t>2</w:t>
        </w:r>
        <w:r>
          <w:fldChar w:fldCharType="end"/>
        </w:r>
      </w:p>
    </w:sdtContent>
  </w:sdt>
  <w:p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10" w:rsidRDefault="00492510" w:rsidP="00305E26">
      <w:r>
        <w:separator/>
      </w:r>
    </w:p>
  </w:footnote>
  <w:footnote w:type="continuationSeparator" w:id="0">
    <w:p w:rsidR="00492510" w:rsidRDefault="00492510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12357"/>
    <w:rsid w:val="002249B7"/>
    <w:rsid w:val="002652AD"/>
    <w:rsid w:val="00294BD3"/>
    <w:rsid w:val="002C34F1"/>
    <w:rsid w:val="002D01B6"/>
    <w:rsid w:val="00305E26"/>
    <w:rsid w:val="00365931"/>
    <w:rsid w:val="00367DEE"/>
    <w:rsid w:val="003A6DB4"/>
    <w:rsid w:val="00485FF3"/>
    <w:rsid w:val="00492510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0742"/>
    <w:rsid w:val="00F613F1"/>
    <w:rsid w:val="00F86F14"/>
    <w:rsid w:val="00F963B9"/>
    <w:rsid w:val="00FA6C0A"/>
    <w:rsid w:val="00FC7ABD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geo-1</cp:lastModifiedBy>
  <cp:revision>11</cp:revision>
  <cp:lastPrinted>2021-04-14T08:58:00Z</cp:lastPrinted>
  <dcterms:created xsi:type="dcterms:W3CDTF">2020-09-03T08:47:00Z</dcterms:created>
  <dcterms:modified xsi:type="dcterms:W3CDTF">2022-05-04T09:37:00Z</dcterms:modified>
</cp:coreProperties>
</file>