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0B" w:rsidRPr="007B0AF9" w:rsidRDefault="00804E0B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r w:rsidRPr="007B0AF9">
        <w:rPr>
          <w:rFonts w:ascii="Times New Roman" w:hAnsi="Times New Roman"/>
          <w:b/>
          <w:bCs/>
          <w:i/>
          <w:iCs/>
        </w:rPr>
        <w:t>На правах рукописи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Минобрнауки России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высшего образования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7B0AF9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5B779E" w:rsidRPr="006D21A4" w:rsidRDefault="006D21A4" w:rsidP="005B779E">
      <w:pPr>
        <w:pStyle w:val="ReportHead"/>
        <w:suppressAutoHyphens/>
        <w:rPr>
          <w:rFonts w:ascii="Times New Roman" w:hAnsi="Times New Roman"/>
          <w:sz w:val="24"/>
        </w:rPr>
      </w:pPr>
      <w:r w:rsidRPr="006D21A4">
        <w:rPr>
          <w:rFonts w:ascii="Times New Roman" w:hAnsi="Times New Roman"/>
          <w:sz w:val="24"/>
        </w:rPr>
        <w:t>Кафедра экономики и организации производства</w:t>
      </w: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0AF9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775F2" w:rsidRPr="002775F2" w:rsidRDefault="002775F2" w:rsidP="002775F2">
      <w:pPr>
        <w:pStyle w:val="ReportHead"/>
        <w:suppressAutoHyphens/>
        <w:spacing w:before="120"/>
        <w:rPr>
          <w:rFonts w:ascii="Times New Roman" w:hAnsi="Times New Roman"/>
          <w:i/>
        </w:rPr>
      </w:pPr>
      <w:bookmarkStart w:id="0" w:name="BookmarkWhereDelChr13"/>
      <w:bookmarkEnd w:id="0"/>
      <w:r w:rsidRPr="002775F2">
        <w:rPr>
          <w:rFonts w:ascii="Times New Roman" w:hAnsi="Times New Roman"/>
          <w:i/>
        </w:rPr>
        <w:t>«Б1.Д.Б.25 Экономика архитектурных решений и строительства»</w:t>
      </w:r>
    </w:p>
    <w:p w:rsidR="002775F2" w:rsidRPr="002775F2" w:rsidRDefault="002775F2" w:rsidP="002775F2">
      <w:pPr>
        <w:pStyle w:val="ReportHead"/>
        <w:suppressAutoHyphens/>
        <w:rPr>
          <w:rFonts w:ascii="Times New Roman" w:hAnsi="Times New Roman"/>
        </w:rPr>
      </w:pPr>
    </w:p>
    <w:p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Уровень высшего образования</w:t>
      </w:r>
    </w:p>
    <w:p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БАКАЛАВРИАТ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Направление подготовки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07.03.01 Архитектура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Квалификация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Форма обучения</w:t>
      </w:r>
    </w:p>
    <w:p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:rsidR="00804E0B" w:rsidRPr="009F568B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Год набора 20</w:t>
      </w:r>
      <w:r w:rsidR="007E4EA6">
        <w:rPr>
          <w:rFonts w:ascii="Times New Roman" w:hAnsi="Times New Roman" w:cs="Times New Roman"/>
          <w:sz w:val="24"/>
          <w:szCs w:val="24"/>
        </w:rPr>
        <w:t>2</w:t>
      </w:r>
      <w:r w:rsidR="00775A2F">
        <w:rPr>
          <w:rFonts w:ascii="Times New Roman" w:hAnsi="Times New Roman" w:cs="Times New Roman"/>
          <w:sz w:val="24"/>
          <w:szCs w:val="24"/>
        </w:rPr>
        <w:t>3</w:t>
      </w: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804E0B" w:rsidRPr="007B0AF9" w:rsidRDefault="00804E0B" w:rsidP="007E4EA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7E4EA6">
        <w:rPr>
          <w:rFonts w:ascii="Times New Roman" w:hAnsi="Times New Roman" w:cs="Times New Roman"/>
          <w:sz w:val="28"/>
          <w:szCs w:val="28"/>
        </w:rPr>
        <w:t>ыроваткина</w:t>
      </w:r>
      <w:r w:rsidR="00CE57A6">
        <w:rPr>
          <w:rFonts w:ascii="Times New Roman" w:hAnsi="Times New Roman" w:cs="Times New Roman"/>
          <w:sz w:val="28"/>
          <w:szCs w:val="28"/>
        </w:rPr>
        <w:t xml:space="preserve"> </w:t>
      </w:r>
      <w:r w:rsidR="007E4EA6">
        <w:rPr>
          <w:rFonts w:ascii="Times New Roman" w:hAnsi="Times New Roman" w:cs="Times New Roman"/>
          <w:sz w:val="28"/>
          <w:szCs w:val="28"/>
        </w:rPr>
        <w:t>Т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  <w:r w:rsidR="00CE57A6">
        <w:rPr>
          <w:rFonts w:ascii="Times New Roman" w:hAnsi="Times New Roman" w:cs="Times New Roman"/>
          <w:sz w:val="28"/>
          <w:szCs w:val="28"/>
        </w:rPr>
        <w:t>Н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</w:p>
    <w:p w:rsidR="00804E0B" w:rsidRPr="007B0AF9" w:rsidRDefault="00804E0B" w:rsidP="007776A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9E" w:rsidRPr="006D21A4" w:rsidRDefault="006D21A4" w:rsidP="005B779E">
      <w:pPr>
        <w:pStyle w:val="ReportHead"/>
        <w:suppressAutoHyphens/>
        <w:jc w:val="both"/>
        <w:rPr>
          <w:rFonts w:ascii="Times New Roman" w:hAnsi="Times New Roman"/>
        </w:rPr>
      </w:pPr>
      <w:r w:rsidRPr="006D21A4"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C35AB1">
        <w:rPr>
          <w:rFonts w:ascii="Times New Roman" w:hAnsi="Times New Roman"/>
        </w:rPr>
        <w:t>ческой теории, региональной и отраслевой экономики</w:t>
      </w:r>
    </w:p>
    <w:p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79E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7B0AF9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D9288B">
        <w:rPr>
          <w:rFonts w:ascii="Times New Roman" w:hAnsi="Times New Roman" w:cs="Times New Roman"/>
          <w:sz w:val="28"/>
          <w:szCs w:val="28"/>
        </w:rPr>
        <w:t>ю</w:t>
      </w:r>
      <w:r w:rsidRPr="007B0AF9">
        <w:rPr>
          <w:rFonts w:ascii="Times New Roman" w:hAnsi="Times New Roman" w:cs="Times New Roman"/>
          <w:sz w:val="28"/>
          <w:szCs w:val="28"/>
        </w:rPr>
        <w:t xml:space="preserve">тся приложением к рабочей программе по дисциплине «Экономика архитектурных решений и строительства», зарегистрированной в ЦИТ под учетным номером___________ </w:t>
      </w:r>
    </w:p>
    <w:p w:rsidR="00804E0B" w:rsidRDefault="00804E0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288B" w:rsidRPr="007B0AF9" w:rsidRDefault="00D9288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D9288B" w:rsidTr="00D9288B">
        <w:tc>
          <w:tcPr>
            <w:tcW w:w="3522" w:type="dxa"/>
            <w:hideMark/>
          </w:tcPr>
          <w:p w:rsidR="00D9288B" w:rsidRPr="00BD3B55" w:rsidRDefault="00D9288B" w:rsidP="00775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75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9288B" w:rsidTr="00D9288B">
        <w:tc>
          <w:tcPr>
            <w:tcW w:w="3522" w:type="dxa"/>
            <w:hideMark/>
          </w:tcPr>
          <w:p w:rsidR="00D9288B" w:rsidRPr="00BD3B55" w:rsidRDefault="00D9288B" w:rsidP="00775A2F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75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04E0B" w:rsidRDefault="00804E0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9288B" w:rsidRPr="007B0AF9" w:rsidRDefault="00D9288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>
      <w:pPr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br w:type="page"/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7B0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3.1 Методические указания по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Рекомендации по подготовке к промежуточной аттестации - зачету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>
        <w:tc>
          <w:tcPr>
            <w:tcW w:w="8931" w:type="dxa"/>
          </w:tcPr>
          <w:p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льство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ложным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нным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процессо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в ко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увяза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7B0AF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нное</w:t>
      </w:r>
      <w:r w:rsidR="0077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ихвнем,о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зациясистемыкул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ообсл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 xml:space="preserve">а. </w:t>
      </w:r>
    </w:p>
    <w:p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:rsidR="00804E0B" w:rsidRPr="007B0AF9" w:rsidRDefault="00804E0B" w:rsidP="00BF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4"/>
          <w:szCs w:val="24"/>
        </w:rPr>
        <w:t>Основная задача курса «Экономика архитектурных решений и строительства»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:rsidR="00804E0B" w:rsidRPr="007B0AF9" w:rsidRDefault="00804E0B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7B0AF9">
        <w:rPr>
          <w:rFonts w:ascii="Times New Roman" w:hAnsi="Times New Roman" w:cs="Times New Roman"/>
        </w:rPr>
        <w:t xml:space="preserve">Целью изучения дисциплины «Экономика архитектурных решений и строительства»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:rsidR="00804E0B" w:rsidRPr="007B0AF9" w:rsidRDefault="00804E0B" w:rsidP="002B35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7B0AF9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архитектурных решений на экономику градостроительства, строительства и эксплуатации зданий и 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</w:p>
    <w:p w:rsidR="00804E0B" w:rsidRPr="00975CCC" w:rsidRDefault="00804E0B" w:rsidP="00975CCC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75CCC">
        <w:rPr>
          <w:rFonts w:ascii="Times New Roman" w:hAnsi="Times New Roman"/>
          <w:sz w:val="24"/>
          <w:szCs w:val="24"/>
        </w:rPr>
        <w:t>Процесс изучения дисциплины «Экономика архитектурных решений и строительства» направлен на формирование следующ</w:t>
      </w:r>
      <w:r w:rsidR="00975CCC">
        <w:rPr>
          <w:rFonts w:ascii="Times New Roman" w:hAnsi="Times New Roman"/>
          <w:sz w:val="24"/>
          <w:szCs w:val="24"/>
        </w:rPr>
        <w:t>ей</w:t>
      </w:r>
      <w:r w:rsidRPr="00975CCC">
        <w:rPr>
          <w:rFonts w:ascii="Times New Roman" w:hAnsi="Times New Roman"/>
          <w:sz w:val="24"/>
          <w:szCs w:val="24"/>
        </w:rPr>
        <w:t xml:space="preserve"> компетенци</w:t>
      </w:r>
      <w:r w:rsidR="00975CCC">
        <w:rPr>
          <w:rFonts w:ascii="Times New Roman" w:hAnsi="Times New Roman"/>
          <w:sz w:val="24"/>
          <w:szCs w:val="24"/>
        </w:rPr>
        <w:t>и</w:t>
      </w:r>
      <w:r w:rsidRPr="00975CCC">
        <w:rPr>
          <w:rFonts w:ascii="Times New Roman" w:hAnsi="Times New Roman"/>
          <w:sz w:val="24"/>
          <w:szCs w:val="24"/>
        </w:rPr>
        <w:t xml:space="preserve"> в соответствии с ФГОС ВО и ООП ВО по направлению подготовки 07.03.01 Архитектура:</w:t>
      </w:r>
    </w:p>
    <w:p w:rsid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 </w:t>
      </w:r>
      <w:r>
        <w:rPr>
          <w:rFonts w:ascii="Times New Roman" w:hAnsi="Times New Roman" w:cs="Times New Roman"/>
          <w:sz w:val="24"/>
          <w:szCs w:val="24"/>
        </w:rPr>
        <w:t>- с</w:t>
      </w:r>
      <w:r w:rsidRPr="00975CCC">
        <w:rPr>
          <w:rFonts w:ascii="Times New Roman" w:hAnsi="Times New Roman" w:cs="Times New Roman"/>
          <w:sz w:val="24"/>
          <w:szCs w:val="24"/>
        </w:rPr>
        <w:t>пособн</w:t>
      </w:r>
      <w:r>
        <w:rPr>
          <w:rFonts w:ascii="Times New Roman" w:hAnsi="Times New Roman" w:cs="Times New Roman"/>
          <w:sz w:val="24"/>
          <w:szCs w:val="24"/>
        </w:rPr>
        <w:t>ость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75CCC">
        <w:rPr>
          <w:rFonts w:ascii="Times New Roman" w:hAnsi="Times New Roman" w:cs="Times New Roman"/>
          <w:sz w:val="24"/>
          <w:szCs w:val="24"/>
        </w:rPr>
        <w:t>ндикатор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достижения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УК-2:</w:t>
      </w:r>
    </w:p>
    <w:p w:rsidR="00975CCC" w:rsidRPr="00975CCC" w:rsidRDefault="00975CCC" w:rsidP="00975CCC">
      <w:pPr>
        <w:pStyle w:val="ReportMain"/>
        <w:suppressAutoHyphens/>
        <w:ind w:firstLine="709"/>
        <w:rPr>
          <w:rFonts w:ascii="Times New Roman" w:hAnsi="Times New Roman" w:cs="Times New Roman"/>
        </w:rPr>
      </w:pPr>
      <w:r w:rsidRPr="00975CCC">
        <w:rPr>
          <w:rFonts w:ascii="Times New Roman" w:hAnsi="Times New Roman" w:cs="Times New Roman"/>
        </w:rPr>
        <w:t xml:space="preserve">УК-2-В-3 </w:t>
      </w:r>
      <w:r>
        <w:rPr>
          <w:rFonts w:ascii="Times New Roman" w:hAnsi="Times New Roman" w:cs="Times New Roman"/>
        </w:rPr>
        <w:t>- п</w:t>
      </w:r>
      <w:r w:rsidRPr="00975CCC">
        <w:rPr>
          <w:rFonts w:ascii="Times New Roman" w:hAnsi="Times New Roman" w:cs="Times New Roman"/>
        </w:rPr>
        <w:t>рименят</w:t>
      </w:r>
      <w:r>
        <w:rPr>
          <w:rFonts w:ascii="Times New Roman" w:hAnsi="Times New Roman" w:cs="Times New Roman"/>
        </w:rPr>
        <w:t>ь</w:t>
      </w:r>
      <w:r w:rsidRPr="00975CCC">
        <w:rPr>
          <w:rFonts w:ascii="Times New Roman" w:hAnsi="Times New Roman" w:cs="Times New Roman"/>
        </w:rPr>
        <w:t xml:space="preserve"> элементы анализа, планирования и оценки рисков для выбора оптимальной стратегии развития и обоснования устойчивости проекта</w:t>
      </w:r>
      <w:r>
        <w:rPr>
          <w:rFonts w:ascii="Times New Roman" w:hAnsi="Times New Roman" w:cs="Times New Roman"/>
        </w:rPr>
        <w:t>;</w:t>
      </w:r>
    </w:p>
    <w:p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УК-2-В-4 </w:t>
      </w:r>
      <w:r>
        <w:rPr>
          <w:rFonts w:ascii="Times New Roman" w:hAnsi="Times New Roman" w:cs="Times New Roman"/>
          <w:sz w:val="24"/>
          <w:szCs w:val="24"/>
        </w:rPr>
        <w:t>- 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рамках цели проекта опират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>ся на правовые нормы основных отраслей российского законодательства при постановке целей и выборе оптимальных способов их достижения; обладат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навыками использования нормативно-правовых ресурсов в разработке и реализации проектов.</w:t>
      </w:r>
    </w:p>
    <w:p w:rsidR="00804E0B" w:rsidRPr="007B0AF9" w:rsidRDefault="00804E0B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</w:t>
      </w:r>
      <w:r w:rsidRPr="007B0AF9">
        <w:rPr>
          <w:rFonts w:ascii="Times New Roman" w:hAnsi="Times New Roman" w:cs="Times New Roman"/>
          <w:sz w:val="24"/>
          <w:szCs w:val="24"/>
        </w:rPr>
        <w:lastRenderedPageBreak/>
        <w:t>способствует закреплению лекционного материала по дисциплине и формированию элементов компетенци</w:t>
      </w:r>
      <w:r w:rsidR="00975CCC">
        <w:rPr>
          <w:rFonts w:ascii="Times New Roman" w:hAnsi="Times New Roman" w:cs="Times New Roman"/>
          <w:sz w:val="24"/>
          <w:szCs w:val="24"/>
        </w:rPr>
        <w:t>иУ</w:t>
      </w:r>
      <w:r w:rsidRPr="007B0AF9">
        <w:rPr>
          <w:rFonts w:ascii="Times New Roman" w:hAnsi="Times New Roman" w:cs="Times New Roman"/>
          <w:sz w:val="24"/>
          <w:szCs w:val="24"/>
        </w:rPr>
        <w:t>К-</w:t>
      </w:r>
      <w:r w:rsidR="00975CCC">
        <w:rPr>
          <w:rFonts w:ascii="Times New Roman" w:hAnsi="Times New Roman" w:cs="Times New Roman"/>
          <w:sz w:val="24"/>
          <w:szCs w:val="24"/>
        </w:rPr>
        <w:t>2</w:t>
      </w:r>
      <w:r w:rsidRPr="007B0A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04E0B" w:rsidRPr="007B0AF9" w:rsidRDefault="00804E0B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7B0AF9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Цель: изучить место и роль строительства в развитии производства и общества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Двойственный характеробъектов архитектуры. 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Ресурсы капитального строительства.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lang w:val="en-US"/>
        </w:rPr>
      </w:pPr>
    </w:p>
    <w:p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7B0AF9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lastRenderedPageBreak/>
        <w:t xml:space="preserve">Цель: </w:t>
      </w:r>
      <w:r w:rsidRPr="00325B94">
        <w:rPr>
          <w:rFonts w:ascii="Times New Roman" w:hAnsi="Times New Roman" w:cs="Times New Roman"/>
          <w:i/>
          <w:spacing w:val="-3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Понятие и классификация средств производства строительных и проектных организаций.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Оценка основных фондов. Износ и амортизация основных фондов.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Показатели использования основных фондов.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Понятия, состав и структура оборотных средств.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 эффективности использования оборотных средств. </w:t>
      </w:r>
    </w:p>
    <w:p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Показатели, оценка и пути повышения эффективности использования оборотных средств.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Трудовые ресурсы строительных организаций.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Методы измерения производительности труда.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Резервы и пути повышения производительности труда.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Нормирование труда, сущность, методы, виды норм. </w:t>
      </w:r>
    </w:p>
    <w:p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Организация оплаты труда в строительстве.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3. Финансирование и кредитование в строительстве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источники и реализацию финансирования и кредитования в строительстве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 времени в строительстве. 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Экономический эффект от досрочного ввода объекта в эксплуатацию. 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Экономический эффект от сокращения продолжительности строительства.</w:t>
      </w:r>
    </w:p>
    <w:p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Экономическая оценка потерь от «замораживания» капитальных вложений.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4. Основы ценообразования в строительстве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особенности ценообразования в строительстве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Основы определения сметной стоимости строительной продукции. 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Расчёт цены инвестора. 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Модели формирования инвестиционной сметной стоимости строительства.</w:t>
      </w:r>
    </w:p>
    <w:p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Формирование договорных цен на строительно-монтажные работы.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5. Порядок оценки архитектурно-проектных решений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изучить этапы экспертизы архитектурно-проектных решений</w:t>
      </w:r>
    </w:p>
    <w:p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Этапы экономической работы при проектировании. </w:t>
      </w:r>
    </w:p>
    <w:p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Критерии оценки проектных решений. </w:t>
      </w:r>
    </w:p>
    <w:p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Система технико-экономических показателей строительных проектов.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6. Экономические вопросы архитектурно-планировочных решений городов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Состав предпроектных расчётов при проектировании генплана города. </w:t>
      </w:r>
    </w:p>
    <w:p w:rsidR="00804E0B" w:rsidRPr="007B0AF9" w:rsidRDefault="00804E0B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Порядок определения территории, необходимой для размещения жилой зоны города.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градостроительных проектов. </w:t>
      </w:r>
    </w:p>
    <w:p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7. Экономика архитектурно-планировочных решений жилых и общественных зданий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жилых и общественных зданий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Общие тенденции развития жилищного строительства в России.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lastRenderedPageBreak/>
        <w:t xml:space="preserve">Система технико-экономических показателей проектов жилых домов.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Факторы, определяющие экономичность проектных решений жилых домов.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Применение экономико-математических методов при проектировании жилья. </w:t>
      </w:r>
    </w:p>
    <w:p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оценки проектных решений общественных зданий. </w:t>
      </w: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  <w:lang w:eastAsia="ru-RU"/>
        </w:rPr>
      </w:pPr>
    </w:p>
    <w:p w:rsidR="00804E0B" w:rsidRPr="007B0AF9" w:rsidRDefault="00804E0B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7B0AF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804E0B" w:rsidRPr="007B0AF9" w:rsidRDefault="00804E0B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4E0B" w:rsidRPr="007B0AF9" w:rsidRDefault="00804E0B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:rsidR="00804E0B" w:rsidRPr="007B0AF9" w:rsidRDefault="00804E0B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04E0B" w:rsidRPr="007B0AF9" w:rsidRDefault="00804E0B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7. Использование дополнительного материала (приветствуется, но не обязательно для всех студентов).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804E0B" w:rsidRPr="007B0AF9" w:rsidRDefault="00804E0B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804E0B" w:rsidRPr="007B0AF9" w:rsidRDefault="00804E0B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804E0B" w:rsidRPr="007B0AF9" w:rsidRDefault="00804E0B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9. Составление обзора публикаций по теме.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Выполнение расчетов.</w:t>
      </w:r>
    </w:p>
    <w:p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Изучение инструкционной и технологической карты.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4E0B" w:rsidRPr="007B0AF9" w:rsidRDefault="00804E0B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3.1 Методические рекомендации по выполнению индивидуального творческого задания</w:t>
      </w:r>
    </w:p>
    <w:p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4.Рекомендации по подготовке к промежуточной аттестации –дифзачету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6D21A4" w:rsidRPr="006D21A4" w:rsidRDefault="006D21A4" w:rsidP="006D21A4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6D21A4" w:rsidRDefault="006D21A4" w:rsidP="006D21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21A4" w:rsidRDefault="006D21A4" w:rsidP="006D21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8"/>
        <w:gridCol w:w="2322"/>
        <w:gridCol w:w="2011"/>
        <w:gridCol w:w="2011"/>
        <w:gridCol w:w="2272"/>
      </w:tblGrid>
      <w:tr w:rsidR="006D21A4" w:rsidTr="006D21A4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Критерийдляоценки «2»</w:t>
            </w:r>
          </w:p>
        </w:tc>
      </w:tr>
      <w:tr w:rsidR="006D21A4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:rsidTr="006D21A4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Решены все задачи, отчёт оформлен без замечаний, ответы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недостаточно 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Решены все задачи, отчёт оформлен с замечаниями, ответы при защите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существенными 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Решены не все задачи, отчёт оформлен с существенными замечаниями, ответы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неудовлетворительные</w:t>
            </w:r>
          </w:p>
        </w:tc>
      </w:tr>
      <w:tr w:rsidR="006D21A4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Хорошо и 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Знает сущность, 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ап-паратом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:rsidR="00804E0B" w:rsidRPr="007B0AF9" w:rsidRDefault="00804E0B" w:rsidP="00A955A5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04E0B" w:rsidRPr="007B0AF9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1A4" w:rsidRPr="00775A2F" w:rsidRDefault="006D21A4" w:rsidP="00F82524">
      <w:pPr>
        <w:pStyle w:val="ReportMain"/>
        <w:keepNext/>
        <w:numPr>
          <w:ilvl w:val="1"/>
          <w:numId w:val="18"/>
        </w:numPr>
        <w:tabs>
          <w:tab w:val="left" w:pos="0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775A2F">
        <w:rPr>
          <w:rFonts w:ascii="Times New Roman" w:hAnsi="Times New Roman" w:cs="Times New Roman"/>
        </w:rPr>
        <w:t xml:space="preserve">Давиденко, В.П. Экономика архитектурных решений и строительства : учебное пособие / В.П. Давиденко, Л.Т. Киселева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2013. - 162 с. : ил. - Библиогр. в кн. - ISBN 978-5-9585-0528-9 ; То же [Электронный ресурс]. - URL: </w:t>
      </w:r>
      <w:hyperlink r:id="rId8" w:history="1">
        <w:r w:rsidR="00C35AB1" w:rsidRPr="00775A2F">
          <w:rPr>
            <w:rFonts w:ascii="Times New Roman" w:hAnsi="Times New Roman" w:cs="Times New Roman"/>
            <w:color w:val="0000FF"/>
            <w:u w:val="single"/>
          </w:rPr>
          <w:t>https://pl.b-ok.cc/book/2912417/51641a</w:t>
        </w:r>
      </w:hyperlink>
      <w:r w:rsidRPr="00775A2F">
        <w:rPr>
          <w:rFonts w:ascii="Times New Roman" w:hAnsi="Times New Roman" w:cs="Times New Roman"/>
        </w:rPr>
        <w:t xml:space="preserve"> .</w:t>
      </w:r>
    </w:p>
    <w:p w:rsidR="006D21A4" w:rsidRPr="00775A2F" w:rsidRDefault="006D21A4" w:rsidP="00F82524">
      <w:pPr>
        <w:pStyle w:val="ReportMain"/>
        <w:keepNext/>
        <w:numPr>
          <w:ilvl w:val="1"/>
          <w:numId w:val="18"/>
        </w:numPr>
        <w:tabs>
          <w:tab w:val="left" w:pos="0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775A2F">
        <w:rPr>
          <w:rFonts w:ascii="Times New Roman" w:hAnsi="Times New Roman" w:cs="Times New Roman"/>
        </w:rPr>
        <w:t xml:space="preserve">Экономика и организация архитектурного проектирования и строительства : учебное пособие / Министерство образования и науки Астраханской области, Государственное автономное образовательное учреждение Астраханской области высшего профессионального образования «Астраханский инженерно-строительный институт», Кафедра «Экономика строительства» ; сост. В.К. Лихобабин. - Астрахань : Астраханский инженерно-строительный институт, 2015. - 229 с. : табл., схем., граф., ил. - Библиогр. в кн. ; То же [Электронный ресурс]. - URL: </w:t>
      </w:r>
      <w:hyperlink r:id="rId9" w:history="1">
        <w:r w:rsidRPr="00775A2F">
          <w:rPr>
            <w:rStyle w:val="aa"/>
          </w:rPr>
          <w:t>//biblioclub.ru/index.php?page=book&amp;id=438917</w:t>
        </w:r>
      </w:hyperlink>
      <w:r w:rsidRPr="00775A2F">
        <w:rPr>
          <w:rFonts w:ascii="Times New Roman" w:hAnsi="Times New Roman" w:cs="Times New Roman"/>
        </w:rPr>
        <w:t xml:space="preserve"> .</w:t>
      </w:r>
    </w:p>
    <w:p w:rsidR="006D21A4" w:rsidRPr="00775A2F" w:rsidRDefault="006D21A4" w:rsidP="00F82524">
      <w:pPr>
        <w:numPr>
          <w:ilvl w:val="1"/>
          <w:numId w:val="1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pacing w:val="-6"/>
          <w:sz w:val="24"/>
          <w:szCs w:val="24"/>
        </w:rPr>
        <w:t xml:space="preserve">Градостроительный кодекс Российской Федерации, с изм . и дополн. на 30 декабря 2008г. </w:t>
      </w:r>
    </w:p>
    <w:p w:rsidR="00775A2F" w:rsidRPr="00775A2F" w:rsidRDefault="00775A2F" w:rsidP="00F82524">
      <w:pPr>
        <w:pStyle w:val="ReportMain"/>
        <w:keepNext/>
        <w:numPr>
          <w:ilvl w:val="0"/>
          <w:numId w:val="18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775A2F">
        <w:rPr>
          <w:rFonts w:ascii="Times New Roman" w:hAnsi="Times New Roman" w:cs="Times New Roman"/>
          <w:shd w:val="clear" w:color="auto" w:fill="FFFFFF"/>
        </w:rPr>
        <w:t>Лемзяков, А. А. Экономика архитектурных решений и строительства : учебно-методическое пособие / А. А. Лемзяков. — Москва : МГАХИ им. В. И. Сурикова, 2020. — 14 с. — Текст : электронный // Лань : электронно-библиотечная система. — URL: https://e.lanbook.com/book/170768 (дата обращения: 18.03.2023). — Режим доступа: для авториз. пользователей.</w:t>
      </w:r>
    </w:p>
    <w:p w:rsidR="00775A2F" w:rsidRPr="00775A2F" w:rsidRDefault="00775A2F" w:rsidP="00F82524">
      <w:pPr>
        <w:pStyle w:val="a6"/>
        <w:numPr>
          <w:ilvl w:val="0"/>
          <w:numId w:val="1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75A2F">
        <w:rPr>
          <w:rFonts w:ascii="Times New Roman" w:hAnsi="Times New Roman" w:cs="Times New Roman"/>
          <w:spacing w:val="-6"/>
          <w:sz w:val="24"/>
          <w:szCs w:val="24"/>
        </w:rPr>
        <w:t>5.2.2.</w:t>
      </w:r>
      <w:r w:rsidRPr="00775A2F">
        <w:rPr>
          <w:rFonts w:ascii="Times New Roman" w:hAnsi="Times New Roman" w:cs="Times New Roman"/>
          <w:spacing w:val="-6"/>
          <w:sz w:val="24"/>
          <w:szCs w:val="24"/>
        </w:rPr>
        <w:tab/>
        <w:t>Титаренко, Н.В. Основные методы определения стоимости архитектурно-проектных работ для строительства: методические указания по дисциплине «Экономика архитектурных решений и стро</w:t>
      </w:r>
      <w:r w:rsidRPr="00775A2F">
        <w:rPr>
          <w:rFonts w:ascii="Times New Roman" w:hAnsi="Times New Roman" w:cs="Times New Roman"/>
          <w:spacing w:val="-6"/>
          <w:sz w:val="24"/>
          <w:szCs w:val="24"/>
        </w:rPr>
        <w:t>и</w:t>
      </w:r>
      <w:r w:rsidRPr="00775A2F">
        <w:rPr>
          <w:rFonts w:ascii="Times New Roman" w:hAnsi="Times New Roman" w:cs="Times New Roman"/>
          <w:spacing w:val="-6"/>
          <w:sz w:val="24"/>
          <w:szCs w:val="24"/>
        </w:rPr>
        <w:t>тельства» (выполнение практических работ) : [16+] / Н.В. Титаренко, В.Н. Шатун ; Уральский государс</w:t>
      </w:r>
      <w:r w:rsidRPr="00775A2F">
        <w:rPr>
          <w:rFonts w:ascii="Times New Roman" w:hAnsi="Times New Roman" w:cs="Times New Roman"/>
          <w:spacing w:val="-6"/>
          <w:sz w:val="24"/>
          <w:szCs w:val="24"/>
        </w:rPr>
        <w:t>т</w:t>
      </w:r>
      <w:r w:rsidRPr="00775A2F">
        <w:rPr>
          <w:rFonts w:ascii="Times New Roman" w:hAnsi="Times New Roman" w:cs="Times New Roman"/>
          <w:spacing w:val="-6"/>
          <w:sz w:val="24"/>
          <w:szCs w:val="24"/>
        </w:rPr>
        <w:t>венный архитектурно-художественный университет (УрГАХУ). – Екатеринбург : Уральский государс</w:t>
      </w:r>
      <w:r w:rsidRPr="00775A2F">
        <w:rPr>
          <w:rFonts w:ascii="Times New Roman" w:hAnsi="Times New Roman" w:cs="Times New Roman"/>
          <w:spacing w:val="-6"/>
          <w:sz w:val="24"/>
          <w:szCs w:val="24"/>
        </w:rPr>
        <w:t>т</w:t>
      </w:r>
      <w:r w:rsidRPr="00775A2F">
        <w:rPr>
          <w:rFonts w:ascii="Times New Roman" w:hAnsi="Times New Roman" w:cs="Times New Roman"/>
          <w:spacing w:val="-6"/>
          <w:sz w:val="24"/>
          <w:szCs w:val="24"/>
        </w:rPr>
        <w:t>венный архитектурно-художественный университет (УрГАХУ), 2019. – 60 с. : табл. – Режим доступа: по подписке. – URL: https://biblioclub.ru/index.php?page=book&amp;id=573494</w:t>
      </w:r>
    </w:p>
    <w:p w:rsidR="00775A2F" w:rsidRPr="00775A2F" w:rsidRDefault="00775A2F" w:rsidP="00F82524">
      <w:pPr>
        <w:pStyle w:val="a6"/>
        <w:numPr>
          <w:ilvl w:val="0"/>
          <w:numId w:val="1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  <w:shd w:val="clear" w:color="auto" w:fill="FFFFFF"/>
        </w:rPr>
        <w:t>5.2.3 Есин, Е. Ю. Разработка сметы на строительство : учебно-методическое пособие / Е. Ю. Есин, С. В. Горбунов, М. В. Жирнова. — Нижний Новгород : ННГАСУ, 2022. — 51 с. — Текст : электронный // Лань : электронно-библиотечная система. — URL: https://e.lanbook.com/book/260045 (дата обращения: 23.03.2023). — Режим доступа: для авториз. пользователей.</w:t>
      </w:r>
    </w:p>
    <w:p w:rsidR="00775A2F" w:rsidRPr="00775A2F" w:rsidRDefault="00775A2F" w:rsidP="00F82524">
      <w:pPr>
        <w:pStyle w:val="a6"/>
        <w:numPr>
          <w:ilvl w:val="0"/>
          <w:numId w:val="1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</w:rPr>
        <w:t>5.2.4 Солдатенко, Л. В.       Технико-экономическое обоснование проектных работ [Электро</w:t>
      </w:r>
      <w:r w:rsidRPr="00775A2F">
        <w:rPr>
          <w:rFonts w:ascii="Times New Roman" w:hAnsi="Times New Roman" w:cs="Times New Roman"/>
          <w:sz w:val="24"/>
          <w:szCs w:val="24"/>
        </w:rPr>
        <w:t>н</w:t>
      </w:r>
      <w:r w:rsidRPr="00775A2F">
        <w:rPr>
          <w:rFonts w:ascii="Times New Roman" w:hAnsi="Times New Roman" w:cs="Times New Roman"/>
          <w:sz w:val="24"/>
          <w:szCs w:val="24"/>
        </w:rPr>
        <w:t>ный ресурс]: учебное пособие для студентов, обучающихся по программе высшего образования по направлению подготовки 08.03.01 Строительство / Л. В. Солдатенко, Т. М. Шпильман, Д. А. Старков; М-во образования и науки Рос. Федерации, Федер. гос. бюджет.образоват. учреждение высш. образ</w:t>
      </w:r>
      <w:r w:rsidRPr="00775A2F">
        <w:rPr>
          <w:rFonts w:ascii="Times New Roman" w:hAnsi="Times New Roman" w:cs="Times New Roman"/>
          <w:sz w:val="24"/>
          <w:szCs w:val="24"/>
        </w:rPr>
        <w:t>о</w:t>
      </w:r>
      <w:r w:rsidRPr="00775A2F">
        <w:rPr>
          <w:rFonts w:ascii="Times New Roman" w:hAnsi="Times New Roman" w:cs="Times New Roman"/>
          <w:sz w:val="24"/>
          <w:szCs w:val="24"/>
        </w:rPr>
        <w:t>вания "Оренбург. гос. ун-т". - Электрон.дан. - Оренбург : ОГУ, 2016. - 1 электрон. опт. диск (CD-ROM) :зв., цв.; 12 см. - Загл. с этикетки диска. -Систем. требования: IBM PC 686 (Pentium или выше); MicrosoftWindows NT 5.x (2000, XP, 7, 8); 512 Мб; монитор, поддерживающий режим 1024х768; мышь или аналогич. устройство</w:t>
      </w:r>
    </w:p>
    <w:p w:rsidR="006D21A4" w:rsidRPr="00775A2F" w:rsidRDefault="006D21A4" w:rsidP="00F82524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6D21A4" w:rsidRPr="00775A2F" w:rsidRDefault="006D21A4" w:rsidP="00F82524">
      <w:pPr>
        <w:pStyle w:val="ReportMain"/>
        <w:keepNext/>
        <w:tabs>
          <w:tab w:val="left" w:pos="0"/>
        </w:tabs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  <w:r w:rsidRPr="00775A2F">
        <w:rPr>
          <w:rFonts w:ascii="Times New Roman" w:hAnsi="Times New Roman" w:cs="Times New Roman"/>
          <w:b/>
        </w:rPr>
        <w:t>Периодические издания</w:t>
      </w:r>
    </w:p>
    <w:p w:rsidR="006D21A4" w:rsidRPr="00775A2F" w:rsidRDefault="006D21A4" w:rsidP="00F82524">
      <w:pPr>
        <w:pStyle w:val="ReportMain"/>
        <w:keepNext/>
        <w:tabs>
          <w:tab w:val="left" w:pos="0"/>
        </w:tabs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</w:p>
    <w:p w:rsidR="00BD3B55" w:rsidRPr="00775A2F" w:rsidRDefault="00BD3B55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A2F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775A2F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775A2F">
        <w:rPr>
          <w:rFonts w:ascii="Times New Roman" w:hAnsi="Times New Roman" w:cs="Times New Roman"/>
          <w:bCs/>
          <w:sz w:val="24"/>
          <w:szCs w:val="24"/>
        </w:rPr>
        <w:t>2019</w:t>
      </w:r>
      <w:r w:rsidRPr="00775A2F">
        <w:rPr>
          <w:rFonts w:ascii="Times New Roman" w:hAnsi="Times New Roman" w:cs="Times New Roman"/>
          <w:sz w:val="24"/>
          <w:szCs w:val="24"/>
        </w:rPr>
        <w:t>. - № 1-12,</w:t>
      </w:r>
      <w:bookmarkStart w:id="2" w:name="_Hlk67217330"/>
      <w:r w:rsidRPr="00775A2F">
        <w:rPr>
          <w:rFonts w:ascii="Times New Roman" w:hAnsi="Times New Roman" w:cs="Times New Roman"/>
          <w:sz w:val="24"/>
          <w:szCs w:val="24"/>
        </w:rPr>
        <w:t xml:space="preserve"> 2021. - № 1-12</w:t>
      </w:r>
      <w:bookmarkEnd w:id="1"/>
      <w:bookmarkEnd w:id="2"/>
      <w:r w:rsidRPr="00775A2F">
        <w:rPr>
          <w:rFonts w:ascii="Times New Roman" w:hAnsi="Times New Roman" w:cs="Times New Roman"/>
          <w:sz w:val="24"/>
          <w:szCs w:val="24"/>
        </w:rPr>
        <w:t xml:space="preserve">, </w:t>
      </w:r>
      <w:bookmarkStart w:id="3" w:name="_Hlk67217433"/>
      <w:r w:rsidRPr="00775A2F">
        <w:rPr>
          <w:rFonts w:ascii="Times New Roman" w:hAnsi="Times New Roman" w:cs="Times New Roman"/>
          <w:sz w:val="24"/>
          <w:szCs w:val="24"/>
        </w:rPr>
        <w:t>2022. - № 1-2.</w:t>
      </w:r>
      <w:bookmarkEnd w:id="3"/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5A2F">
        <w:rPr>
          <w:rFonts w:ascii="Times New Roman" w:hAnsi="Times New Roman" w:cs="Times New Roman"/>
          <w:bCs/>
          <w:sz w:val="24"/>
          <w:szCs w:val="24"/>
        </w:rPr>
        <w:t>Вестник Московского госуда</w:t>
      </w:r>
      <w:r w:rsidRPr="00775A2F">
        <w:rPr>
          <w:rFonts w:ascii="Times New Roman" w:hAnsi="Times New Roman" w:cs="Times New Roman"/>
          <w:bCs/>
          <w:sz w:val="24"/>
          <w:szCs w:val="24"/>
        </w:rPr>
        <w:t>р</w:t>
      </w:r>
      <w:r w:rsidRPr="00775A2F">
        <w:rPr>
          <w:rFonts w:ascii="Times New Roman" w:hAnsi="Times New Roman" w:cs="Times New Roman"/>
          <w:bCs/>
          <w:sz w:val="24"/>
          <w:szCs w:val="24"/>
        </w:rPr>
        <w:t>ственного строительного университета (МГСУ)</w:t>
      </w:r>
      <w:r w:rsidRPr="00775A2F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r w:rsidRPr="00775A2F">
        <w:rPr>
          <w:rFonts w:ascii="Times New Roman" w:hAnsi="Times New Roman" w:cs="Times New Roman"/>
          <w:bCs/>
          <w:sz w:val="24"/>
          <w:szCs w:val="24"/>
        </w:rPr>
        <w:t>2020</w:t>
      </w:r>
      <w:r w:rsidRPr="00775A2F">
        <w:rPr>
          <w:rFonts w:ascii="Times New Roman" w:hAnsi="Times New Roman" w:cs="Times New Roman"/>
          <w:sz w:val="24"/>
          <w:szCs w:val="24"/>
        </w:rPr>
        <w:t>. - № 1-12,2022. - № 1-12, 2023. - № 1-2.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75A2F">
        <w:rPr>
          <w:rFonts w:ascii="Times New Roman" w:hAnsi="Times New Roman" w:cs="Times New Roman"/>
          <w:sz w:val="24"/>
          <w:szCs w:val="24"/>
        </w:rPr>
        <w:lastRenderedPageBreak/>
        <w:t xml:space="preserve">Вопросы экономики: журнал. - М.: Агентство «Роспечать», </w:t>
      </w:r>
      <w:r w:rsidRPr="00775A2F">
        <w:rPr>
          <w:rFonts w:ascii="Times New Roman" w:hAnsi="Times New Roman" w:cs="Times New Roman"/>
          <w:bCs/>
          <w:sz w:val="24"/>
          <w:szCs w:val="24"/>
        </w:rPr>
        <w:t>2021</w:t>
      </w:r>
      <w:r w:rsidRPr="00775A2F">
        <w:rPr>
          <w:rFonts w:ascii="Times New Roman" w:hAnsi="Times New Roman" w:cs="Times New Roman"/>
          <w:sz w:val="24"/>
          <w:szCs w:val="24"/>
        </w:rPr>
        <w:t>. - № 1-12,2022. - № 1-12, 2023. - № 1-2.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Жилищное строительство: жу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нал. - М.: Агентство "Роспечать", 2022.- № 1-6, </w:t>
      </w:r>
      <w:r w:rsidRPr="00775A2F">
        <w:rPr>
          <w:rFonts w:ascii="Times New Roman" w:hAnsi="Times New Roman" w:cs="Times New Roman"/>
          <w:sz w:val="24"/>
          <w:szCs w:val="24"/>
        </w:rPr>
        <w:t>2023. - № 1.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чать", 2023.- №1-2.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775A2F">
        <w:rPr>
          <w:rFonts w:ascii="Times New Roman" w:hAnsi="Times New Roman" w:cs="Times New Roman"/>
          <w:bCs/>
          <w:sz w:val="24"/>
          <w:szCs w:val="24"/>
        </w:rPr>
        <w:t>Механизация строительства</w:t>
      </w:r>
      <w:r w:rsidRPr="00775A2F">
        <w:rPr>
          <w:rFonts w:ascii="Times New Roman" w:hAnsi="Times New Roman" w:cs="Times New Roman"/>
          <w:sz w:val="24"/>
          <w:szCs w:val="24"/>
        </w:rPr>
        <w:t>: журнал. - Москва: Агентство "Роспечать",</w:t>
      </w:r>
      <w:r w:rsidRPr="00775A2F">
        <w:rPr>
          <w:rFonts w:ascii="Times New Roman" w:hAnsi="Times New Roman" w:cs="Times New Roman"/>
          <w:bCs/>
          <w:sz w:val="24"/>
          <w:szCs w:val="24"/>
        </w:rPr>
        <w:t>2022</w:t>
      </w:r>
      <w:r w:rsidRPr="00775A2F">
        <w:rPr>
          <w:rFonts w:ascii="Times New Roman" w:hAnsi="Times New Roman" w:cs="Times New Roman"/>
          <w:sz w:val="24"/>
          <w:szCs w:val="24"/>
        </w:rPr>
        <w:t xml:space="preserve">. 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№ 1-6, </w:t>
      </w:r>
      <w:r w:rsidRPr="00775A2F">
        <w:rPr>
          <w:rFonts w:ascii="Times New Roman" w:hAnsi="Times New Roman" w:cs="Times New Roman"/>
          <w:sz w:val="24"/>
          <w:szCs w:val="24"/>
        </w:rPr>
        <w:t>2023. - № 1.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Промышленное и гражданское строительство: журнал. - М.: Агентство "Роспечать", 2021. № 1-12, 2022. № 1-6, </w:t>
      </w:r>
      <w:r w:rsidRPr="00775A2F">
        <w:rPr>
          <w:rFonts w:ascii="Times New Roman" w:hAnsi="Times New Roman" w:cs="Times New Roman"/>
          <w:sz w:val="24"/>
          <w:szCs w:val="24"/>
        </w:rPr>
        <w:t>2023. - № 1.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Строительные и дорожные машины: журнал. - М.: Агентство "Росп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чать", 2022.- № 1-12, </w:t>
      </w:r>
      <w:r w:rsidRPr="00775A2F">
        <w:rPr>
          <w:rFonts w:ascii="Times New Roman" w:hAnsi="Times New Roman" w:cs="Times New Roman"/>
          <w:sz w:val="24"/>
          <w:szCs w:val="24"/>
        </w:rPr>
        <w:t>2023. - № 1-2.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2021. № 1-7, 2022.- № 2-5, </w:t>
      </w:r>
      <w:r w:rsidRPr="00775A2F">
        <w:rPr>
          <w:rFonts w:ascii="Times New Roman" w:hAnsi="Times New Roman" w:cs="Times New Roman"/>
          <w:sz w:val="24"/>
          <w:szCs w:val="24"/>
        </w:rPr>
        <w:t>2023. - № 1-2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Строительные материалы, об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рудование, технологии XXI века: журнал. - М.: Агентство "Роспечать", 2021.- № 1-12, 2021.- № 1-12, </w:t>
      </w:r>
      <w:r w:rsidRPr="00775A2F">
        <w:rPr>
          <w:rFonts w:ascii="Times New Roman" w:hAnsi="Times New Roman" w:cs="Times New Roman"/>
          <w:sz w:val="24"/>
          <w:szCs w:val="24"/>
        </w:rPr>
        <w:t>2023. - № 1-2.</w:t>
      </w:r>
    </w:p>
    <w:p w:rsidR="00775A2F" w:rsidRPr="00775A2F" w:rsidRDefault="00775A2F" w:rsidP="00F82524">
      <w:pPr>
        <w:numPr>
          <w:ilvl w:val="0"/>
          <w:numId w:val="15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строительства: журнал. - М.: Агентство "Роспечать", 2021.- № 4, 2022.- № 1-6, </w:t>
      </w:r>
      <w:r w:rsidRPr="00775A2F">
        <w:rPr>
          <w:rFonts w:ascii="Times New Roman" w:hAnsi="Times New Roman" w:cs="Times New Roman"/>
          <w:sz w:val="24"/>
          <w:szCs w:val="24"/>
        </w:rPr>
        <w:t>2023. - № 1-2</w:t>
      </w:r>
      <w:r w:rsidRPr="00775A2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5A2F" w:rsidRPr="00775A2F" w:rsidRDefault="00775A2F" w:rsidP="00F8252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A2F" w:rsidRPr="00775A2F" w:rsidRDefault="00775A2F" w:rsidP="00F8252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A2F">
        <w:rPr>
          <w:rFonts w:ascii="Times New Roman" w:hAnsi="Times New Roman" w:cs="Times New Roman"/>
          <w:b/>
          <w:sz w:val="24"/>
          <w:szCs w:val="24"/>
        </w:rPr>
        <w:t xml:space="preserve">5.4 Интернет-ресурсы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A2F" w:rsidRPr="00775A2F" w:rsidRDefault="00775A2F" w:rsidP="00775A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1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Pr="00775A2F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16" w:tgtFrame="_blank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Pr="00775A2F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Pr="00775A2F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Pr="00775A2F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- </w:t>
      </w:r>
      <w:r w:rsidRPr="00775A2F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:rsidR="00775A2F" w:rsidRPr="00775A2F" w:rsidRDefault="00775A2F" w:rsidP="00775A2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color w:val="0000FF"/>
          <w:sz w:val="24"/>
          <w:szCs w:val="24"/>
        </w:rPr>
        <w:t>https://openedu.ru/course/</w:t>
      </w:r>
      <w:r w:rsidRPr="00775A2F">
        <w:rPr>
          <w:rFonts w:ascii="Times New Roman" w:hAnsi="Times New Roman" w:cs="Times New Roman"/>
          <w:sz w:val="24"/>
          <w:szCs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75A2F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775A2F">
        <w:rPr>
          <w:rFonts w:ascii="Times New Roman" w:hAnsi="Times New Roman" w:cs="Times New Roman"/>
          <w:sz w:val="24"/>
          <w:szCs w:val="24"/>
          <w:lang w:val="en-US"/>
        </w:rPr>
        <w:t xml:space="preserve"> - «Coursera», </w:t>
      </w:r>
      <w:r w:rsidRPr="00775A2F">
        <w:rPr>
          <w:rFonts w:ascii="Times New Roman" w:hAnsi="Times New Roman" w:cs="Times New Roman"/>
          <w:sz w:val="24"/>
          <w:szCs w:val="24"/>
        </w:rPr>
        <w:t>МООК</w:t>
      </w:r>
      <w:r w:rsidRPr="00775A2F">
        <w:rPr>
          <w:rFonts w:ascii="Times New Roman" w:hAnsi="Times New Roman" w:cs="Times New Roman"/>
          <w:sz w:val="24"/>
          <w:szCs w:val="24"/>
          <w:lang w:val="en-US"/>
        </w:rPr>
        <w:t>: «Programming for Everybody (Getting Started with Python)»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4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Pr="00775A2F">
        <w:rPr>
          <w:rFonts w:ascii="Times New Roman" w:hAnsi="Times New Roman" w:cs="Times New Roman"/>
          <w:sz w:val="24"/>
          <w:szCs w:val="24"/>
        </w:rPr>
        <w:t xml:space="preserve"> - </w:t>
      </w:r>
      <w:r w:rsidRPr="00775A2F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5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775A2F">
        <w:rPr>
          <w:rFonts w:ascii="Times New Roman" w:hAnsi="Times New Roman" w:cs="Times New Roman"/>
          <w:sz w:val="24"/>
          <w:szCs w:val="24"/>
        </w:rPr>
        <w:t xml:space="preserve"> - </w:t>
      </w:r>
      <w:r w:rsidRPr="00775A2F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http://m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su.ru/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775A2F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A2F">
        <w:rPr>
          <w:rFonts w:ascii="Times New Roman" w:hAnsi="Times New Roman" w:cs="Times New Roman"/>
          <w:b/>
          <w:sz w:val="24"/>
          <w:szCs w:val="24"/>
        </w:rPr>
        <w:t xml:space="preserve">5.5 Программное обеспечение, профессиональные базы данных и информационные справочные системы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</w:rPr>
        <w:t>1) Операционная система MicrosoftWindows.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</w:rPr>
        <w:t xml:space="preserve">2) Пакет настольных приложений </w:t>
      </w:r>
      <w:r w:rsidRPr="00775A2F">
        <w:rPr>
          <w:rFonts w:ascii="Times New Roman" w:hAnsi="Times New Roman" w:cs="Times New Roman"/>
          <w:sz w:val="24"/>
          <w:szCs w:val="24"/>
          <w:lang w:val="en-US"/>
        </w:rPr>
        <w:t>MicrosoftOffice</w:t>
      </w:r>
      <w:r w:rsidRPr="00775A2F">
        <w:rPr>
          <w:rFonts w:ascii="Times New Roman" w:hAnsi="Times New Roman" w:cs="Times New Roman"/>
          <w:sz w:val="24"/>
          <w:szCs w:val="24"/>
        </w:rPr>
        <w:t xml:space="preserve">: </w:t>
      </w:r>
      <w:r w:rsidRPr="00775A2F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775A2F">
        <w:rPr>
          <w:rFonts w:ascii="Times New Roman" w:hAnsi="Times New Roman" w:cs="Times New Roman"/>
          <w:sz w:val="24"/>
          <w:szCs w:val="24"/>
        </w:rPr>
        <w:t xml:space="preserve">, </w:t>
      </w:r>
      <w:r w:rsidRPr="00775A2F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775A2F">
        <w:rPr>
          <w:rFonts w:ascii="Times New Roman" w:hAnsi="Times New Roman" w:cs="Times New Roman"/>
          <w:sz w:val="24"/>
          <w:szCs w:val="24"/>
        </w:rPr>
        <w:t xml:space="preserve">, </w:t>
      </w:r>
      <w:r w:rsidRPr="00775A2F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775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5A2F" w:rsidRPr="00775A2F" w:rsidRDefault="00775A2F" w:rsidP="00775A2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</w:rPr>
        <w:lastRenderedPageBreak/>
        <w:t xml:space="preserve">3) КонсультантПлюс [Электронный ресурс]: электронное периодическое издание справочная правовая система. / Разработчик ЗАО «Консультант Плюс», 2023. – Режим доступа к системе в сети ОГУ для установки системы: </w:t>
      </w:r>
      <w:hyperlink r:id="rId27" w:history="1">
        <w:r w:rsidRPr="00775A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\\fileserver1\!CONSULT\cons.exe</w:t>
        </w:r>
      </w:hyperlink>
    </w:p>
    <w:p w:rsidR="00775A2F" w:rsidRPr="00775A2F" w:rsidRDefault="00775A2F" w:rsidP="00775A2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A2F" w:rsidRPr="00775A2F" w:rsidRDefault="00775A2F" w:rsidP="00775A2F">
      <w:pPr>
        <w:tabs>
          <w:tab w:val="left" w:pos="0"/>
        </w:tabs>
        <w:ind w:firstLine="3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A2F">
        <w:rPr>
          <w:rFonts w:ascii="Times New Roman" w:hAnsi="Times New Roman" w:cs="Times New Roman"/>
          <w:b/>
          <w:sz w:val="24"/>
          <w:szCs w:val="24"/>
        </w:rPr>
        <w:t>6 Материально-техническое обеспечение дисциплины</w:t>
      </w:r>
    </w:p>
    <w:p w:rsidR="00775A2F" w:rsidRPr="00775A2F" w:rsidRDefault="00775A2F" w:rsidP="00775A2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аттестации.</w:t>
      </w:r>
    </w:p>
    <w:p w:rsidR="00775A2F" w:rsidRPr="00775A2F" w:rsidRDefault="00775A2F" w:rsidP="00775A2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 – мультимедийным проектором, доской и экраном.</w:t>
      </w:r>
    </w:p>
    <w:p w:rsidR="00775A2F" w:rsidRPr="00775A2F" w:rsidRDefault="00775A2F" w:rsidP="00775A2F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A2F">
        <w:rPr>
          <w:rFonts w:ascii="Times New Roman" w:hAnsi="Times New Roman" w:cs="Times New Roman"/>
          <w:sz w:val="24"/>
          <w:szCs w:val="24"/>
        </w:rPr>
        <w:t>Помещение для самостоятельной работы обучающихся оснащены компьютерной техникой, подключенной к сети "Интернет" и обеспечением доступа в электронную информационно-образовательную среду ОГУ.</w:t>
      </w:r>
    </w:p>
    <w:p w:rsidR="00804E0B" w:rsidRPr="00775A2F" w:rsidRDefault="00804E0B" w:rsidP="00775A2F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04E0B" w:rsidRPr="00775A2F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49C" w:rsidRDefault="0025749C" w:rsidP="0043644C">
      <w:pPr>
        <w:spacing w:after="0" w:line="240" w:lineRule="auto"/>
      </w:pPr>
      <w:r>
        <w:separator/>
      </w:r>
    </w:p>
  </w:endnote>
  <w:endnote w:type="continuationSeparator" w:id="1">
    <w:p w:rsidR="0025749C" w:rsidRDefault="0025749C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E0B" w:rsidRDefault="002F4ED2">
    <w:pPr>
      <w:pStyle w:val="ad"/>
      <w:jc w:val="right"/>
    </w:pPr>
    <w:r>
      <w:fldChar w:fldCharType="begin"/>
    </w:r>
    <w:r w:rsidR="00E023BF">
      <w:instrText>PAGE   \* MERGEFORMAT</w:instrText>
    </w:r>
    <w:r>
      <w:fldChar w:fldCharType="separate"/>
    </w:r>
    <w:r w:rsidR="00F82524">
      <w:rPr>
        <w:noProof/>
      </w:rPr>
      <w:t>14</w:t>
    </w:r>
    <w:r>
      <w:rPr>
        <w:noProof/>
      </w:rPr>
      <w:fldChar w:fldCharType="end"/>
    </w:r>
  </w:p>
  <w:p w:rsidR="00804E0B" w:rsidRDefault="00804E0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49C" w:rsidRDefault="0025749C" w:rsidP="0043644C">
      <w:pPr>
        <w:spacing w:after="0" w:line="240" w:lineRule="auto"/>
      </w:pPr>
      <w:r>
        <w:separator/>
      </w:r>
    </w:p>
  </w:footnote>
  <w:footnote w:type="continuationSeparator" w:id="1">
    <w:p w:rsidR="0025749C" w:rsidRDefault="0025749C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5604EE3"/>
    <w:multiLevelType w:val="hybridMultilevel"/>
    <w:tmpl w:val="6F128E24"/>
    <w:lvl w:ilvl="0" w:tplc="BBE494E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5">
    <w:nsid w:val="74B05CE5"/>
    <w:multiLevelType w:val="hybridMultilevel"/>
    <w:tmpl w:val="33FA43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2"/>
  </w:num>
  <w:num w:numId="8">
    <w:abstractNumId w:val="9"/>
  </w:num>
  <w:num w:numId="9">
    <w:abstractNumId w:val="3"/>
  </w:num>
  <w:num w:numId="10">
    <w:abstractNumId w:val="13"/>
  </w:num>
  <w:num w:numId="11">
    <w:abstractNumId w:val="16"/>
  </w:num>
  <w:num w:numId="12">
    <w:abstractNumId w:val="1"/>
  </w:num>
  <w:num w:numId="13">
    <w:abstractNumId w:val="17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A3103"/>
    <w:rsid w:val="000076B6"/>
    <w:rsid w:val="00020B6D"/>
    <w:rsid w:val="00023BD1"/>
    <w:rsid w:val="000433F5"/>
    <w:rsid w:val="00070963"/>
    <w:rsid w:val="000E7012"/>
    <w:rsid w:val="00101EFC"/>
    <w:rsid w:val="0012723B"/>
    <w:rsid w:val="00162011"/>
    <w:rsid w:val="001A3E63"/>
    <w:rsid w:val="001F55AD"/>
    <w:rsid w:val="001F7CD7"/>
    <w:rsid w:val="00227B10"/>
    <w:rsid w:val="002335E4"/>
    <w:rsid w:val="00252D37"/>
    <w:rsid w:val="0025749C"/>
    <w:rsid w:val="002600E3"/>
    <w:rsid w:val="002705B2"/>
    <w:rsid w:val="00270EED"/>
    <w:rsid w:val="00273CC2"/>
    <w:rsid w:val="002775F2"/>
    <w:rsid w:val="002B35A3"/>
    <w:rsid w:val="002E0C1B"/>
    <w:rsid w:val="002F4ED2"/>
    <w:rsid w:val="0030235E"/>
    <w:rsid w:val="00306828"/>
    <w:rsid w:val="00325B94"/>
    <w:rsid w:val="00337F38"/>
    <w:rsid w:val="0037316F"/>
    <w:rsid w:val="00377BDB"/>
    <w:rsid w:val="00394C20"/>
    <w:rsid w:val="003B2511"/>
    <w:rsid w:val="00407FBD"/>
    <w:rsid w:val="00410817"/>
    <w:rsid w:val="0043644C"/>
    <w:rsid w:val="00441C75"/>
    <w:rsid w:val="0045498A"/>
    <w:rsid w:val="0046365B"/>
    <w:rsid w:val="00474562"/>
    <w:rsid w:val="0049270D"/>
    <w:rsid w:val="004B2FE2"/>
    <w:rsid w:val="004B336C"/>
    <w:rsid w:val="004E6DA3"/>
    <w:rsid w:val="005012AB"/>
    <w:rsid w:val="00545FB4"/>
    <w:rsid w:val="005B779E"/>
    <w:rsid w:val="005D2256"/>
    <w:rsid w:val="005D34C9"/>
    <w:rsid w:val="005D3671"/>
    <w:rsid w:val="005D7613"/>
    <w:rsid w:val="005E68C9"/>
    <w:rsid w:val="005F4E84"/>
    <w:rsid w:val="00604E8E"/>
    <w:rsid w:val="00620B14"/>
    <w:rsid w:val="006610C7"/>
    <w:rsid w:val="00685600"/>
    <w:rsid w:val="006C77E3"/>
    <w:rsid w:val="006D21A4"/>
    <w:rsid w:val="0071493B"/>
    <w:rsid w:val="00771715"/>
    <w:rsid w:val="00775A2F"/>
    <w:rsid w:val="007776AE"/>
    <w:rsid w:val="00795FD2"/>
    <w:rsid w:val="007B0AF9"/>
    <w:rsid w:val="007B27CB"/>
    <w:rsid w:val="007B7BAA"/>
    <w:rsid w:val="007C128D"/>
    <w:rsid w:val="007E4EA6"/>
    <w:rsid w:val="00804E0B"/>
    <w:rsid w:val="00805434"/>
    <w:rsid w:val="00811FEB"/>
    <w:rsid w:val="00825CAB"/>
    <w:rsid w:val="0084664E"/>
    <w:rsid w:val="0084701A"/>
    <w:rsid w:val="00864C57"/>
    <w:rsid w:val="008D2ABB"/>
    <w:rsid w:val="009037E8"/>
    <w:rsid w:val="0090460D"/>
    <w:rsid w:val="0095561D"/>
    <w:rsid w:val="00975CCC"/>
    <w:rsid w:val="00976155"/>
    <w:rsid w:val="009F568B"/>
    <w:rsid w:val="00A20FA1"/>
    <w:rsid w:val="00A432A2"/>
    <w:rsid w:val="00A64E7B"/>
    <w:rsid w:val="00A955A5"/>
    <w:rsid w:val="00AE00F0"/>
    <w:rsid w:val="00B32E1B"/>
    <w:rsid w:val="00B44A95"/>
    <w:rsid w:val="00B54391"/>
    <w:rsid w:val="00B57208"/>
    <w:rsid w:val="00B70F21"/>
    <w:rsid w:val="00B95A95"/>
    <w:rsid w:val="00BA2382"/>
    <w:rsid w:val="00BD3B55"/>
    <w:rsid w:val="00BF4CC4"/>
    <w:rsid w:val="00C06356"/>
    <w:rsid w:val="00C35AB1"/>
    <w:rsid w:val="00C44593"/>
    <w:rsid w:val="00C915AF"/>
    <w:rsid w:val="00CC2277"/>
    <w:rsid w:val="00CE57A6"/>
    <w:rsid w:val="00CE5C0C"/>
    <w:rsid w:val="00D41664"/>
    <w:rsid w:val="00D616E3"/>
    <w:rsid w:val="00D77879"/>
    <w:rsid w:val="00D77AFD"/>
    <w:rsid w:val="00D9288B"/>
    <w:rsid w:val="00DA1FEC"/>
    <w:rsid w:val="00DA3103"/>
    <w:rsid w:val="00DE0EC3"/>
    <w:rsid w:val="00DF035F"/>
    <w:rsid w:val="00E023BF"/>
    <w:rsid w:val="00E25CC3"/>
    <w:rsid w:val="00E47294"/>
    <w:rsid w:val="00E826CC"/>
    <w:rsid w:val="00E90040"/>
    <w:rsid w:val="00EB5AF5"/>
    <w:rsid w:val="00EF5707"/>
    <w:rsid w:val="00F425D8"/>
    <w:rsid w:val="00F82524"/>
    <w:rsid w:val="00F93E8D"/>
    <w:rsid w:val="00FA41C6"/>
    <w:rsid w:val="00FD1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customStyle="1" w:styleId="UnresolvedMention">
    <w:name w:val="Unresolved Mention"/>
    <w:basedOn w:val="a0"/>
    <w:uiPriority w:val="99"/>
    <w:semiHidden/>
    <w:unhideWhenUsed/>
    <w:rsid w:val="00C35AB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1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2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b-ok.cc/book/2912417/51641a" TargetMode="External"/><Relationship Id="rId13" Type="http://schemas.openxmlformats.org/officeDocument/2006/relationships/hyperlink" Target="http://www.msu.ru/libraries/" TargetMode="External"/><Relationship Id="rId18" Type="http://schemas.openxmlformats.org/officeDocument/2006/relationships/hyperlink" Target="http://www.iea.ru/%20-" TargetMode="External"/><Relationship Id="rId26" Type="http://schemas.openxmlformats.org/officeDocument/2006/relationships/hyperlink" Target="http://mgsu.ru/resources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.lanbook.com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rasl.ru" TargetMode="External"/><Relationship Id="rId17" Type="http://schemas.openxmlformats.org/officeDocument/2006/relationships/hyperlink" Target="http://www.gks.ru" TargetMode="External"/><Relationship Id="rId25" Type="http://schemas.openxmlformats.org/officeDocument/2006/relationships/hyperlink" Target="https://www.vestnikmgs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eup.ru/" TargetMode="External"/><Relationship Id="rId20" Type="http://schemas.openxmlformats.org/officeDocument/2006/relationships/hyperlink" Target="http://www.biblioclub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sl.ru/" TargetMode="External"/><Relationship Id="rId24" Type="http://schemas.openxmlformats.org/officeDocument/2006/relationships/hyperlink" Target="https://window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up.ru/" TargetMode="External"/><Relationship Id="rId23" Type="http://schemas.openxmlformats.org/officeDocument/2006/relationships/hyperlink" Target="https://elibrary.ru/defaultx.as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edu.ru/db/portal/sites/portal_page.html" TargetMode="External"/><Relationship Id="rId19" Type="http://schemas.openxmlformats.org/officeDocument/2006/relationships/hyperlink" Target="http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8917" TargetMode="External"/><Relationship Id="rId14" Type="http://schemas.openxmlformats.org/officeDocument/2006/relationships/hyperlink" Target="http://www.expert.ru/" TargetMode="External"/><Relationship Id="rId22" Type="http://schemas.openxmlformats.org/officeDocument/2006/relationships/hyperlink" Target="https://rucont.ru/" TargetMode="External"/><Relationship Id="rId27" Type="http://schemas.openxmlformats.org/officeDocument/2006/relationships/hyperlink" Target="file:///\\fileserver1\!CONSULT\cons.ex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4879</Words>
  <Characters>27813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4</cp:revision>
  <cp:lastPrinted>2019-01-20T09:21:00Z</cp:lastPrinted>
  <dcterms:created xsi:type="dcterms:W3CDTF">2023-03-26T12:04:00Z</dcterms:created>
  <dcterms:modified xsi:type="dcterms:W3CDTF">2023-03-26T12:07:00Z</dcterms:modified>
</cp:coreProperties>
</file>