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spacing w:line="240" w:lineRule="auto"/>
        <w:jc w:val="right"/>
        <w:rPr>
          <w:b/>
          <w:i/>
          <w:szCs w:val="28"/>
        </w:rPr>
      </w:pPr>
      <w:r>
        <w:rPr>
          <w:b/>
          <w:i/>
          <w:szCs w:val="28"/>
        </w:rPr>
        <w:t>На правах рукописи</w:t>
      </w:r>
    </w:p>
    <w:p>
      <w:pPr>
        <w:pStyle w:val="13"/>
        <w:spacing w:line="240" w:lineRule="auto"/>
        <w:rPr>
          <w:szCs w:val="28"/>
        </w:rPr>
      </w:pPr>
    </w:p>
    <w:p>
      <w:pPr>
        <w:pStyle w:val="13"/>
        <w:spacing w:line="240" w:lineRule="auto"/>
        <w:rPr>
          <w:szCs w:val="28"/>
        </w:rPr>
      </w:pPr>
    </w:p>
    <w:p>
      <w:pPr>
        <w:pStyle w:val="13"/>
        <w:spacing w:line="240" w:lineRule="auto"/>
        <w:rPr>
          <w:szCs w:val="28"/>
        </w:rPr>
      </w:pPr>
      <w:r>
        <w:rPr>
          <w:szCs w:val="28"/>
        </w:rPr>
        <w:t>МИНОБРНАУКИ РОССИИ</w:t>
      </w:r>
    </w:p>
    <w:p>
      <w:pPr>
        <w:pStyle w:val="13"/>
        <w:spacing w:line="240" w:lineRule="auto"/>
        <w:rPr>
          <w:szCs w:val="28"/>
        </w:rPr>
      </w:pPr>
    </w:p>
    <w:p>
      <w:pPr>
        <w:pStyle w:val="13"/>
        <w:spacing w:line="240" w:lineRule="auto"/>
        <w:rPr>
          <w:szCs w:val="28"/>
        </w:rPr>
      </w:pPr>
      <w:r>
        <w:rPr>
          <w:szCs w:val="28"/>
        </w:rPr>
        <w:t>Федеральное государственное бюджетное образовательное учреждение</w:t>
      </w:r>
    </w:p>
    <w:p>
      <w:pPr>
        <w:pStyle w:val="13"/>
        <w:spacing w:line="240" w:lineRule="auto"/>
        <w:rPr>
          <w:szCs w:val="28"/>
        </w:rPr>
      </w:pPr>
      <w:r>
        <w:rPr>
          <w:szCs w:val="28"/>
        </w:rPr>
        <w:t>высшего образования</w:t>
      </w:r>
    </w:p>
    <w:p>
      <w:pPr>
        <w:pStyle w:val="13"/>
        <w:spacing w:line="240" w:lineRule="auto"/>
        <w:rPr>
          <w:b/>
          <w:szCs w:val="28"/>
        </w:rPr>
      </w:pPr>
      <w:r>
        <w:rPr>
          <w:b/>
          <w:szCs w:val="28"/>
        </w:rPr>
        <w:t>«Оренбургский государственный университет»</w:t>
      </w:r>
    </w:p>
    <w:p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Кафедра автоматизированного электропривода, 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электромеханики и электротехники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13"/>
        <w:spacing w:line="240" w:lineRule="auto"/>
        <w:rPr>
          <w:szCs w:val="28"/>
        </w:rPr>
      </w:pPr>
      <w:r>
        <w:rPr>
          <w:szCs w:val="28"/>
        </w:rPr>
        <w:t>Методические указания для обучающихся по освоению дисциплины</w:t>
      </w:r>
    </w:p>
    <w:p>
      <w:pPr>
        <w:pStyle w:val="13"/>
        <w:spacing w:line="240" w:lineRule="auto"/>
        <w:rPr>
          <w:szCs w:val="28"/>
        </w:rPr>
      </w:pPr>
    </w:p>
    <w:p>
      <w:pPr>
        <w:pStyle w:val="13"/>
        <w:spacing w:before="120"/>
        <w:rPr>
          <w:i/>
          <w:sz w:val="24"/>
        </w:rPr>
      </w:pPr>
      <w:bookmarkStart w:id="0" w:name="_GoBack"/>
      <w:bookmarkEnd w:id="0"/>
      <w:r>
        <w:rPr>
          <w:i/>
          <w:sz w:val="24"/>
        </w:rPr>
        <w:t>«Б1.Д.Б.18 Основы электроизмерений»</w:t>
      </w:r>
    </w:p>
    <w:p>
      <w:pPr>
        <w:pStyle w:val="13"/>
        <w:rPr>
          <w:sz w:val="24"/>
        </w:rPr>
      </w:pPr>
    </w:p>
    <w:p>
      <w:pPr>
        <w:pStyle w:val="13"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>
      <w:pPr>
        <w:pStyle w:val="13"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>
      <w:pPr>
        <w:pStyle w:val="13"/>
        <w:rPr>
          <w:sz w:val="24"/>
        </w:rPr>
      </w:pPr>
      <w:r>
        <w:rPr>
          <w:sz w:val="24"/>
        </w:rPr>
        <w:t>Направление подготовки</w:t>
      </w:r>
    </w:p>
    <w:p>
      <w:pPr>
        <w:pStyle w:val="13"/>
        <w:rPr>
          <w:i/>
          <w:sz w:val="24"/>
          <w:u w:val="single"/>
        </w:rPr>
      </w:pPr>
      <w:r>
        <w:rPr>
          <w:i/>
          <w:sz w:val="24"/>
          <w:u w:val="single"/>
        </w:rPr>
        <w:t>13.03.02 Электроэнергетика и электротехника</w:t>
      </w:r>
    </w:p>
    <w:p>
      <w:pPr>
        <w:pStyle w:val="13"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>
      <w:pPr>
        <w:pStyle w:val="13"/>
        <w:rPr>
          <w:i/>
          <w:sz w:val="24"/>
          <w:u w:val="single"/>
        </w:rPr>
      </w:pPr>
      <w:r>
        <w:rPr>
          <w:i/>
          <w:sz w:val="24"/>
          <w:u w:val="single"/>
        </w:rPr>
        <w:t>Электроснабжение</w:t>
      </w:r>
    </w:p>
    <w:p>
      <w:pPr>
        <w:pStyle w:val="13"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>
      <w:pPr>
        <w:pStyle w:val="13"/>
        <w:rPr>
          <w:sz w:val="24"/>
        </w:rPr>
      </w:pPr>
    </w:p>
    <w:p>
      <w:pPr>
        <w:pStyle w:val="13"/>
        <w:rPr>
          <w:sz w:val="24"/>
        </w:rPr>
      </w:pPr>
      <w:r>
        <w:rPr>
          <w:sz w:val="24"/>
        </w:rPr>
        <w:t>Квалификация</w:t>
      </w:r>
    </w:p>
    <w:p>
      <w:pPr>
        <w:pStyle w:val="13"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>
      <w:pPr>
        <w:pStyle w:val="13"/>
        <w:spacing w:line="240" w:lineRule="auto"/>
        <w:rPr>
          <w:szCs w:val="28"/>
        </w:rPr>
      </w:pPr>
    </w:p>
    <w:p>
      <w:pPr>
        <w:pStyle w:val="13"/>
        <w:spacing w:line="240" w:lineRule="auto"/>
        <w:rPr>
          <w:szCs w:val="28"/>
        </w:rPr>
      </w:pPr>
    </w:p>
    <w:p>
      <w:pPr>
        <w:pStyle w:val="13"/>
        <w:spacing w:line="240" w:lineRule="auto"/>
        <w:rPr>
          <w:szCs w:val="28"/>
        </w:rPr>
      </w:pPr>
    </w:p>
    <w:p>
      <w:pPr>
        <w:pStyle w:val="13"/>
        <w:spacing w:line="240" w:lineRule="auto"/>
        <w:rPr>
          <w:szCs w:val="28"/>
        </w:rPr>
      </w:pPr>
    </w:p>
    <w:p>
      <w:pPr>
        <w:pStyle w:val="13"/>
        <w:spacing w:line="240" w:lineRule="auto"/>
        <w:rPr>
          <w:szCs w:val="28"/>
        </w:rPr>
      </w:pPr>
    </w:p>
    <w:p>
      <w:pPr>
        <w:pStyle w:val="13"/>
        <w:spacing w:line="240" w:lineRule="auto"/>
        <w:rPr>
          <w:szCs w:val="28"/>
        </w:rPr>
      </w:pPr>
    </w:p>
    <w:p>
      <w:pPr>
        <w:pStyle w:val="13"/>
        <w:spacing w:line="240" w:lineRule="auto"/>
        <w:rPr>
          <w:szCs w:val="28"/>
        </w:rPr>
      </w:pPr>
    </w:p>
    <w:p>
      <w:pPr>
        <w:pStyle w:val="13"/>
        <w:spacing w:line="240" w:lineRule="auto"/>
        <w:rPr>
          <w:szCs w:val="28"/>
        </w:rPr>
      </w:pPr>
    </w:p>
    <w:p>
      <w:pPr>
        <w:pStyle w:val="13"/>
        <w:spacing w:line="240" w:lineRule="auto"/>
        <w:rPr>
          <w:sz w:val="24"/>
        </w:rPr>
      </w:pPr>
    </w:p>
    <w:p>
      <w:pPr>
        <w:pStyle w:val="13"/>
        <w:spacing w:line="240" w:lineRule="auto"/>
        <w:rPr>
          <w:sz w:val="24"/>
        </w:rPr>
      </w:pPr>
    </w:p>
    <w:p>
      <w:pPr>
        <w:pStyle w:val="13"/>
        <w:spacing w:line="240" w:lineRule="auto"/>
        <w:rPr>
          <w:sz w:val="24"/>
        </w:rPr>
      </w:pPr>
    </w:p>
    <w:p>
      <w:pPr>
        <w:pStyle w:val="13"/>
        <w:spacing w:line="240" w:lineRule="auto"/>
        <w:rPr>
          <w:sz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Оренбург, 2024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b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6049010</wp:posOffset>
                </wp:positionH>
                <wp:positionV relativeFrom="paragraph">
                  <wp:posOffset>84455</wp:posOffset>
                </wp:positionV>
                <wp:extent cx="520700" cy="534670"/>
                <wp:effectExtent l="6350" t="6350" r="6350" b="6350"/>
                <wp:wrapNone/>
                <wp:docPr id="1025" name="shape1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504" cy="5345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>
                          <a:solidFill>
                            <a:schemeClr val="l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1025" o:spid="_x0000_s1026" o:spt="1" style="position:absolute;left:0pt;margin-left:476.3pt;margin-top:6.65pt;height:42.1pt;width:41pt;z-index:251659264;v-text-anchor:middle;mso-width-relative:page;mso-height-relative:page;" fillcolor="#FFFFFF [3201]" filled="t" stroked="t" coordsize="21600,21600" o:gfxdata="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amSsvXAAAACgEAAA8AAAAAAAAAAQAgAAAAIgAAAGRycy9kb3ducmV2LnhtbFBLAQIU&#10;ABQAAAAIAIdO4kDT02Aq9AEAACgEAAAOAAAAAAAAAAEAIAAAACYBAABkcnMvZTJvRG9jLnhtbFBL&#10;BQYAAAAABgAGAFkBAACMBQAAAAA=&#10;">
                <v:fill on="t" focussize="0,0"/>
                <v:stroke weight="1pt" color="#FFFFFF [3201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>
      <w:pPr>
        <w:tabs>
          <w:tab w:val="left" w:pos="100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указания предназначены для самостоятельного изучения разделов и тем дисциплины для обучающихся направления подготовки 13.03.02 «Электроэнергетика и электротехника» (профиля) «Электроснабжение»</w:t>
      </w:r>
    </w:p>
    <w:p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Составитель ____________________Л.В. </w:t>
      </w:r>
      <w:r>
        <w:rPr>
          <w:rFonts w:ascii="Times New Roman" w:hAnsi="Times New Roman" w:eastAsia="Calibri" w:cs="Times New Roman"/>
          <w:sz w:val="28"/>
          <w:szCs w:val="28"/>
        </w:rPr>
        <w:t>Быковская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100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указания рассмотрены и одобрены на заседании кафедры автоматизированного электропривода, электромеханики и электротехники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 заведующего кафедрой _______________________А.С.  Безгин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5920740</wp:posOffset>
                </wp:positionH>
                <wp:positionV relativeFrom="paragraph">
                  <wp:posOffset>544830</wp:posOffset>
                </wp:positionV>
                <wp:extent cx="520700" cy="534670"/>
                <wp:effectExtent l="6350" t="6350" r="6350" b="6350"/>
                <wp:wrapNone/>
                <wp:docPr id="1026" name="shape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504" cy="5345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>
                          <a:solidFill>
                            <a:schemeClr val="l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1026" o:spid="_x0000_s1026" o:spt="1" style="position:absolute;left:0pt;margin-left:466.2pt;margin-top:42.9pt;height:42.1pt;width:41pt;mso-position-horizontal-relative:margin;z-index:251660288;v-text-anchor:middle;mso-width-relative:page;mso-height-relative:page;" fillcolor="#FFFFFF [3201]" filled="t" stroked="t" coordsize="21600,21600" o:gfxdata="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NFxaOdkAAAALAQAADwAAAAAAAAABACAAAAAiAAAAZHJzL2Rvd25yZXYueG1sUEsB&#10;AhQAFAAAAAgAh07iQCmTFHL0AQAAKAQAAA4AAAAAAAAAAQAgAAAAKAEAAGRycy9lMm9Eb2MueG1s&#10;UEsFBgAAAAAGAAYAWQEAAI4FAAAAAA==&#10;">
                <v:fill on="t" focussize="0,0"/>
                <v:stroke weight="1pt" color="#FFFFFF [3201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являются приложением к рабочим программам по дисциплине «Основы электроизмерений», зарегистрированным в ЦИТ под учетными номерами ____________ </w:t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>
      <w:pPr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Содержание</w:t>
      </w:r>
    </w:p>
    <w:p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7"/>
        <w:gridCol w:w="8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Методические указания к лекционным занятиям . . . . . . . . . . . . . . . . . . </w:t>
            </w:r>
          </w:p>
        </w:tc>
        <w:tc>
          <w:tcPr>
            <w:tcW w:w="84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Методические указания к лабораторным занятиям . . . . . . . . . . . . . . . . . </w:t>
            </w:r>
          </w:p>
        </w:tc>
        <w:tc>
          <w:tcPr>
            <w:tcW w:w="84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Методические указания к контрольной работе . . . . . . . . . . . . . . . . . . . . . </w:t>
            </w:r>
          </w:p>
        </w:tc>
        <w:tc>
          <w:tcPr>
            <w:tcW w:w="84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Методические указания по рубежному и итоговому контролю . . . . . . . .</w:t>
            </w:r>
          </w:p>
        </w:tc>
        <w:tc>
          <w:tcPr>
            <w:tcW w:w="84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br w:type="page"/>
      </w:r>
    </w:p>
    <w:p>
      <w:pPr>
        <w:pStyle w:val="12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Методические указания по лекционным занятиям</w:t>
      </w:r>
    </w:p>
    <w:p>
      <w:pPr>
        <w:pStyle w:val="12"/>
        <w:ind w:firstLine="709"/>
        <w:jc w:val="both"/>
        <w:rPr>
          <w:b/>
          <w:sz w:val="28"/>
          <w:szCs w:val="28"/>
        </w:rPr>
      </w:pPr>
    </w:p>
    <w:p>
      <w:pPr>
        <w:pStyle w:val="1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 рекомендации призваны помочь студентам организовать самостоятельную работу при изучении курса.</w:t>
      </w:r>
    </w:p>
    <w:p>
      <w:pPr>
        <w:pStyle w:val="1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Умение работать с литературой означает научиться осмысленно пользоваться источниками. Прежде чем приступить к освоению научной литературы, рекомендуется чтение учебников и учебных пособий.</w:t>
      </w:r>
    </w:p>
    <w:p>
      <w:pPr>
        <w:pStyle w:val="1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Существует несколько методов работы с литературой.</w:t>
      </w:r>
    </w:p>
    <w:p>
      <w:pPr>
        <w:pStyle w:val="1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Один из них – самый известный – метод повторения: прочитанный текст можно за учить наизусть. Простое повторение воздействует на память механически и поверхностно. Полученные таким путем сведения легко забываются.</w:t>
      </w:r>
    </w:p>
    <w:p>
      <w:pPr>
        <w:pStyle w:val="1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Наиболее эффективный метод – метод кодирования: прочитанный текст нужно подвергнуть большей, чем простое заучивание, обработке. Чтобы основательно обработать информацию и закодировать ее для хранения, важно произвести целый ряд мыслительных операций: прокомментировать новые данные; оценить их значение; поставить вопросы; сопоставить полученные сведения с ранее известными.</w:t>
      </w:r>
    </w:p>
    <w:p>
      <w:pPr>
        <w:pStyle w:val="1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улучшения обработки информации очень важно устанавливать осмысленные связи, структурировать новые сведения.</w:t>
      </w:r>
    </w:p>
    <w:p>
      <w:pPr>
        <w:pStyle w:val="1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Изучение научной, учебной и иной литературы требует ведения рабочих записей.</w:t>
      </w:r>
    </w:p>
    <w:p>
      <w:pPr>
        <w:pStyle w:val="1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записей может быть весьма разнообразной: простой или развернутый план, тезисы, цитаты, конспект.</w:t>
      </w:r>
    </w:p>
    <w:p>
      <w:pPr>
        <w:pStyle w:val="1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 – первооснова, каркас какой-либо письменной работы, определяющие последовательность изложения материала. </w:t>
      </w:r>
    </w:p>
    <w:p>
      <w:pPr>
        <w:pStyle w:val="1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 является наиболее краткой и потому самой доступной и распространенной формой записей содержания исходного источника информации. По существу, это перечень основных вопросов, рассматриваемых в источнике. План может быть простым и развернутым.</w:t>
      </w:r>
    </w:p>
    <w:p>
      <w:pPr>
        <w:pStyle w:val="12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Выписки – небольшие фрагменты текста (неполные и полные предложения, отдельные абзацы, а также дословные и близкие к дословным записи об излагаемых в нем фактах), содержащие в себе квинтэссенцию содержания прочитанного.</w:t>
      </w:r>
    </w:p>
    <w:p>
      <w:pPr>
        <w:pStyle w:val="12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Выписки представляют собой более сложную форму записей содержания исходного источника информации. По сути, выписки – не что иное, как цитаты, заимствованные из текста. Выписки позволяют в концентрированной форме и с максимальной точностью воспроизвести в произвольном (чаще последовательном) порядке наиболее важные мысли автора, статистические и даталогические сведения. </w:t>
      </w:r>
    </w:p>
    <w:p>
      <w:pPr>
        <w:pStyle w:val="12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Тезисы – сжатое изложение содержания изученного материала в утвердительной (реже опровергающей) форме. </w:t>
      </w:r>
    </w:p>
    <w:p>
      <w:pPr>
        <w:pStyle w:val="12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Исходя из сказанного, нетрудно выявить основное преимущество тезисов: они незаменимы для подготовки глубокой и всесторонней аргументации письменной работы любой сложности.</w:t>
      </w:r>
    </w:p>
    <w:p>
      <w:pPr>
        <w:pStyle w:val="12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Аннотация – краткое изложение основного содержания исходного источника информации, дающее о нем обобщенное представление.</w:t>
      </w:r>
    </w:p>
    <w:p>
      <w:pPr>
        <w:pStyle w:val="12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 написанию аннотаций прибегают в тех случаях, когда подлинная ценность и пригодность исходного источника информации исполнителю письменной работы окончательно неясна, но в то же время о нем необходимо оставить краткую запись с обобщающей характеристикой. Для указанной цели и используется аннотация. Характерной особенностью аннотации наряду с краткостью и обобщенностью ее содержания является и то, что пишется аннотация всегда после того, как (хотя бы в предварительном порядке) завершено ознакомление с содержанием исходного источника информации. Кроме того, пишется аннотация почти исключительно своими словами и лишь в крайне редких случаях содержит в себе небольшие выдержки оригинального текста.</w:t>
      </w:r>
    </w:p>
    <w:p>
      <w:pPr>
        <w:pStyle w:val="12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Резюме – краткая оценка изученного содержания исходного источника информации, полученная, прежде всего, на основе содержащихся в нем выводов. </w:t>
      </w:r>
    </w:p>
    <w:p>
      <w:pPr>
        <w:pStyle w:val="12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Резюме весьма сходно по своей сути с аннотацией. Однако, в отличие от последней, текст резюме концентрирует в себе данные не из основного содержания исходного источника информации, а из его заключительной части, прежде всего выводов. </w:t>
      </w:r>
    </w:p>
    <w:p>
      <w:pPr>
        <w:pStyle w:val="12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Конспект – сложная запись содержания исходного текста, включающая в себя заимствования (цитаты) наиболее примечательных мест в сочетании с планом источника, а также сжатый анализ записанного материала и выводы по нему.</w:t>
      </w:r>
    </w:p>
    <w:p>
      <w:pPr>
        <w:pStyle w:val="12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Для работы над конспектом следует:</w:t>
      </w:r>
    </w:p>
    <w:p>
      <w:pPr>
        <w:pStyle w:val="12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определить структуру конспектируемого материала, чему в значительной мере способствует письменное ведение плана по ходу изучения оригинального текста;</w:t>
      </w:r>
    </w:p>
    <w:p>
      <w:pPr>
        <w:pStyle w:val="12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соответствии со структурой конспекта произвести отбор и последующую запись;</w:t>
      </w:r>
    </w:p>
    <w:p>
      <w:pPr>
        <w:pStyle w:val="12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наиболее существенного содержания оригинального текста – в форме цитат или в изложении, близком к оригиналу;</w:t>
      </w:r>
    </w:p>
    <w:p>
      <w:pPr>
        <w:pStyle w:val="12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выполнить анализ записей и на его основе – дополнение записей собственными замечаниями, соображениями, «фактурой», заимствованной из других источников и т. п. (располагать все это следует на полях тетради для записей или на отдельных листах-вкладках);</w:t>
      </w:r>
    </w:p>
    <w:p>
      <w:pPr>
        <w:pStyle w:val="12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завершить формулирование и запись выводов по каждой из частей оригинального текста, а также общих выводов.</w:t>
      </w:r>
    </w:p>
    <w:p>
      <w:pPr>
        <w:pStyle w:val="12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Систематизация изученных источников позволяет повысить эффективность их анализа и обобщения. Итогом этой работы должна стать логически выстроенная система сведений по существу исследуемого вопроса.</w:t>
      </w:r>
    </w:p>
    <w:p>
      <w:pPr>
        <w:pStyle w:val="12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Необходимо из всего материала выделить существующие точки зрения на проблему, проанализировать их, сравнить, дать им оценку. 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Кстати, этой процедуре должны подвергаться и материалы из Интернета во избежание механического скачивания готовых текстов. В записях и конспектах студенту очень важно указывать названия источников, авторов, год издания. Это организует его, а главное, пригодится в последующем обучении.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Самостоятельная работа по изучению разделов и тем дисциплины с постраничным указанием глав, разделов, параграфов представлена в таблице 1.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t>Таблица 1</w:t>
      </w:r>
    </w:p>
    <w:tbl>
      <w:tblPr>
        <w:tblStyle w:val="7"/>
        <w:tblW w:w="10632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3679"/>
        <w:gridCol w:w="2557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994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раздела</w:t>
            </w:r>
          </w:p>
        </w:tc>
        <w:tc>
          <w:tcPr>
            <w:tcW w:w="3679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темы</w:t>
            </w:r>
          </w:p>
        </w:tc>
        <w:tc>
          <w:tcPr>
            <w:tcW w:w="255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Название книги</w:t>
            </w:r>
          </w:p>
        </w:tc>
        <w:tc>
          <w:tcPr>
            <w:tcW w:w="340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Ссылка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994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79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Теория погрешностей: абсолютная, относительная, систематическая, случайная, методическая погрешности и способы их описания. Погрешности косвенных измерений. Суммирование погрешностей, выбор средств измерений. Правовые основы метрологической деятельности, структура и функции метрологической службы. Метрологическое обеспечение производства. Государственный метрологический надзор.</w:t>
            </w:r>
          </w:p>
        </w:tc>
        <w:tc>
          <w:tcPr>
            <w:tcW w:w="255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Кириллов В.И. Метрологическое обеспечение технических систем</w:t>
            </w:r>
          </w:p>
        </w:tc>
        <w:tc>
          <w:tcPr>
            <w:tcW w:w="340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"http://znanium.com/catalog.php?bookinfo=406752"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 w:cs="Times New Roman"/>
                <w:sz w:val="24"/>
                <w:szCs w:val="24"/>
              </w:rPr>
              <w:t>http://znanium.com/catalog.php?bookinfo=406752</w:t>
            </w:r>
            <w:r>
              <w:rPr>
                <w:rStyle w:val="6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994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Шпаков, П.С. Математическая обработка результатов измерений</w:t>
            </w:r>
          </w:p>
        </w:tc>
        <w:tc>
          <w:tcPr>
            <w:tcW w:w="340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"http://znanium.com/catalog.php?bookinfo=550266"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 w:cs="Times New Roman"/>
                <w:sz w:val="24"/>
                <w:szCs w:val="24"/>
              </w:rPr>
              <w:t>http://znanium.com/catalog.php?bookinfo=550266</w:t>
            </w:r>
            <w:r>
              <w:rPr>
                <w:rStyle w:val="6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" w:hRule="atLeast"/>
        </w:trPr>
        <w:tc>
          <w:tcPr>
            <w:tcW w:w="994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Аристов А. И. Метрология, стандартизация, сертификация</w:t>
            </w:r>
          </w:p>
        </w:tc>
        <w:tc>
          <w:tcPr>
            <w:tcW w:w="340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6"/>
                <w:rFonts w:ascii="Times New Roman" w:hAnsi="Times New Roman" w:cs="Times New Roman"/>
                <w:sz w:val="24"/>
                <w:szCs w:val="24"/>
              </w:rPr>
              <w:t>http://znanium.com/bookread2.php?book=369646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5" w:hRule="atLeast"/>
        </w:trPr>
        <w:tc>
          <w:tcPr>
            <w:tcW w:w="994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679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Основы государственной системы стандартизации. Законодательная и нормативная база стандартизации. Единая система конструкторской документации, единая система технологической документации, единая система стандартов приборостроения. Международные организации по стандартизации. Государственный контроль и надзор за соблюдением требований государственных стандартов.</w:t>
            </w:r>
          </w:p>
        </w:tc>
        <w:tc>
          <w:tcPr>
            <w:tcW w:w="255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Кириллов В.И. Метрологическое обеспечение технических систем</w:t>
            </w:r>
          </w:p>
        </w:tc>
        <w:tc>
          <w:tcPr>
            <w:tcW w:w="340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"http://znanium.com/catalog.php?bookinfo=406752"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 w:cs="Times New Roman"/>
                <w:sz w:val="24"/>
                <w:szCs w:val="24"/>
              </w:rPr>
              <w:t>http://znanium.com/catalog.php?bookinfo=406752</w:t>
            </w:r>
            <w:r>
              <w:rPr>
                <w:rStyle w:val="6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5" w:hRule="atLeast"/>
        </w:trPr>
        <w:tc>
          <w:tcPr>
            <w:tcW w:w="994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Кравцов А.В. Электрические измерения</w:t>
            </w:r>
          </w:p>
        </w:tc>
        <w:tc>
          <w:tcPr>
            <w:tcW w:w="340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fldChar w:fldCharType="begin"/>
            </w:r>
            <w:r>
              <w:instrText xml:space="preserve"> HYPERLINK "http://znanium.com/bookread2.php?book=939363" </w:instrText>
            </w:r>
            <w:r>
              <w:fldChar w:fldCharType="separate"/>
            </w:r>
            <w:r>
              <w:rPr>
                <w:rStyle w:val="6"/>
              </w:rPr>
              <w:t>http://znanium.com/bookread2.php?book=939363</w:t>
            </w:r>
            <w:r>
              <w:rPr>
                <w:rStyle w:val="6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3" w:hRule="atLeast"/>
        </w:trPr>
        <w:tc>
          <w:tcPr>
            <w:tcW w:w="994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679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Общие сведения о применении электрических приборов постоянного и переменного тока и средств измерения. Структурные схемы электрических приборов измерения электрических величин. Преобразователи тока и напряжения. Аналоговые и цифровые вольтметры. Уравнение измерительного преобразования. Подключение и исследование ваттметров, счетчиков активной и реактивной энергии. Осциллографы.</w:t>
            </w:r>
          </w:p>
        </w:tc>
        <w:tc>
          <w:tcPr>
            <w:tcW w:w="255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Гусаров, А.А. Метрологическое обеспечение систем автоматизированного электропривода</w:t>
            </w:r>
          </w:p>
        </w:tc>
        <w:tc>
          <w:tcPr>
            <w:tcW w:w="340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 ОГУ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3" w:hRule="atLeast"/>
        </w:trPr>
        <w:tc>
          <w:tcPr>
            <w:tcW w:w="994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Кравцов А.В. Электрические измерения</w:t>
            </w:r>
          </w:p>
        </w:tc>
        <w:tc>
          <w:tcPr>
            <w:tcW w:w="340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fldChar w:fldCharType="begin"/>
            </w:r>
            <w:r>
              <w:instrText xml:space="preserve"> HYPERLINK "http://znanium.com/bookread2.php?book=939363" </w:instrText>
            </w:r>
            <w:r>
              <w:fldChar w:fldCharType="separate"/>
            </w:r>
            <w:r>
              <w:rPr>
                <w:rStyle w:val="6"/>
              </w:rPr>
              <w:t>http://znanium.com/bookread2.php?book=939363</w:t>
            </w:r>
            <w:r>
              <w:rPr>
                <w:rStyle w:val="6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</w:trPr>
        <w:tc>
          <w:tcPr>
            <w:tcW w:w="994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679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Воспроизведение формы и измерение параметров сигнала. Принципы измерения частоты при помощи частотомеров. Измерение фазовых сдвигов. Анализаторы спектров. Метод вольтметра-амперметра. Электронные амперметры. Измерительные мосты. Резонансные методы.</w:t>
            </w:r>
          </w:p>
        </w:tc>
        <w:tc>
          <w:tcPr>
            <w:tcW w:w="255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Гусаров, А.А. Метрологическое обеспечение систем автоматизированного электропривода</w:t>
            </w:r>
          </w:p>
        </w:tc>
        <w:tc>
          <w:tcPr>
            <w:tcW w:w="340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 ОГУ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</w:trPr>
        <w:tc>
          <w:tcPr>
            <w:tcW w:w="994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 w:val="continue"/>
          </w:tcPr>
          <w:p>
            <w:pPr>
              <w:pStyle w:val="4"/>
              <w:suppressAutoHyphens/>
              <w:spacing w:after="0" w:line="240" w:lineRule="auto"/>
              <w:ind w:left="23" w:right="40"/>
              <w:rPr>
                <w:sz w:val="24"/>
              </w:rPr>
            </w:pPr>
          </w:p>
        </w:tc>
        <w:tc>
          <w:tcPr>
            <w:tcW w:w="255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Кравцов А.В. Электрические измерения</w:t>
            </w:r>
          </w:p>
        </w:tc>
        <w:tc>
          <w:tcPr>
            <w:tcW w:w="340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fldChar w:fldCharType="begin"/>
            </w:r>
            <w:r>
              <w:instrText xml:space="preserve"> HYPERLINK "http://znanium.com/bookread2.php?book=939363" </w:instrText>
            </w:r>
            <w:r>
              <w:fldChar w:fldCharType="separate"/>
            </w:r>
            <w:r>
              <w:rPr>
                <w:rStyle w:val="6"/>
              </w:rPr>
              <w:t>http://znanium.com/bookread2.php?book=939363</w:t>
            </w:r>
            <w:r>
              <w:rPr>
                <w:rStyle w:val="6"/>
              </w:rPr>
              <w:fldChar w:fldCharType="end"/>
            </w:r>
          </w:p>
        </w:tc>
      </w:tr>
    </w:tbl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Методические указания к лабораторным работам</w:t>
      </w: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лабораторных занятий строится в три этапа:</w:t>
      </w: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Выделение из лекционного материала и самостоятельной работы общего объёма информации об основах электроизмерений.</w:t>
      </w: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Выполнение заданий лабораторных работ по:</w:t>
      </w:r>
    </w:p>
    <w:p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Гусаров, А.А. Метрологическое обеспечение систем автоматизированного электропривода: методические указания / А.А. Гусаров; Оренбургский гос. ун-т. - Оренбург: ОГУ, 2011. – 31 с.</w:t>
      </w:r>
    </w:p>
    <w:p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Самостоятельное решение дополнительных задач и подготовка к защите работ.</w:t>
      </w: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лабораторных занятий разделам самостоятельной работы указано в таблице 2 и пересекается с вычитываемым лекционным материалом.</w:t>
      </w: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3260"/>
        <w:gridCol w:w="2977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696" w:type="dxa"/>
            <w:vMerge w:val="restart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занятия</w:t>
            </w:r>
          </w:p>
        </w:tc>
        <w:tc>
          <w:tcPr>
            <w:tcW w:w="6237" w:type="dxa"/>
            <w:gridSpan w:val="2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занятия согласно форме обучения</w:t>
            </w:r>
          </w:p>
        </w:tc>
        <w:tc>
          <w:tcPr>
            <w:tcW w:w="1979" w:type="dxa"/>
            <w:vMerge w:val="restart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раздела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696" w:type="dxa"/>
            <w:vMerge w:val="continue"/>
            <w:vAlign w:val="center"/>
          </w:tcPr>
          <w:p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очной</w:t>
            </w:r>
          </w:p>
        </w:tc>
        <w:tc>
          <w:tcPr>
            <w:tcW w:w="2977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</w:p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заочной/ </w:t>
            </w:r>
          </w:p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заочной ускоренной</w:t>
            </w:r>
          </w:p>
        </w:tc>
        <w:tc>
          <w:tcPr>
            <w:tcW w:w="1979" w:type="dxa"/>
            <w:vMerge w:val="continue"/>
            <w:vAlign w:val="center"/>
          </w:tcPr>
          <w:p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979" w:type="dxa"/>
          </w:tcPr>
          <w:p>
            <w:pPr>
              <w:pStyle w:val="14"/>
              <w:suppressAutoHyphens/>
              <w:jc w:val="center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>
            <w:pPr>
              <w:pStyle w:val="14"/>
              <w:suppressAutoHyphens/>
              <w:jc w:val="center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979" w:type="dxa"/>
          </w:tcPr>
          <w:p>
            <w:pPr>
              <w:pStyle w:val="14"/>
              <w:suppressAutoHyphens/>
              <w:jc w:val="center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>
            <w:pPr>
              <w:pStyle w:val="14"/>
              <w:suppressAutoHyphens/>
              <w:jc w:val="center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979" w:type="dxa"/>
          </w:tcPr>
          <w:p>
            <w:pPr>
              <w:pStyle w:val="14"/>
              <w:suppressAutoHyphens/>
              <w:jc w:val="center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979" w:type="dxa"/>
          </w:tcPr>
          <w:p>
            <w:pPr>
              <w:pStyle w:val="14"/>
              <w:suppressAutoHyphens/>
              <w:jc w:val="center"/>
            </w:pPr>
            <w:r>
              <w:t>4</w:t>
            </w:r>
          </w:p>
        </w:tc>
      </w:tr>
    </w:tbl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закрепления аудиторной работы предлагается самостоятельное ознакомление с вопросами, заданиями и упражнениями, размещенными в конце каждого параграфа основных источников литературы.</w:t>
      </w: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Методические указания к контрольной работе</w:t>
      </w: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Представленные задания для контрольной работы подробно описаны в блоке С фонда оценочных средств.</w:t>
      </w: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выполняется в качестве домашнего задания и её наличие необходимо при сдаче итоговой формы контроля. Форма отчёта – печатная версия, оформленная в соответствии с установленными правилами ОГУ.</w:t>
      </w: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задания ориентировано на углубленное самостоятельное изучение всех разделов читаемой дисциплины в соответствии с приведенной в таблице 1 литературой.</w:t>
      </w: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Возникающие вопросы при выполнении заданий, входящих в состав контрольной работы задаются преподавателю по окончанию практических занятий, либо по электронной почте.</w:t>
      </w: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Методические указания по рубежному и итоговому контролю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Рубежный контроль осуществляется только на дневной форме обучения по результатам выполнения самостоятельных заданий в процессе выполнения и защиты лабораторных работ.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Экзамены и зачеты позволяют выработать ответственность, трудолюбие, принципиальность. При подготовке к зачету, экзамену студент повторяет, как правило, ранее изученный материал. В этот период сыграют большую роль правильно подготовленные заранее записи и конспекты. Студенту останется лишь повторить пройденное, учесть, что было пропущено, восполнить пробелы при подготовке к семинарам, закрепить ранее изученный материал.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зачету предлагатеся следующий перечень вопросов по изученным разделам:</w:t>
      </w:r>
    </w:p>
    <w:p>
      <w:pPr>
        <w:pStyle w:val="14"/>
        <w:tabs>
          <w:tab w:val="left" w:pos="851"/>
          <w:tab w:val="left" w:pos="1134"/>
        </w:tabs>
        <w:ind w:left="0" w:firstLine="567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1.Основы электрических измерений, основные понятия</w:t>
      </w:r>
    </w:p>
    <w:p>
      <w:pPr>
        <w:pStyle w:val="14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Теория погрешностей: абсолютная, относительная, систематическая, случайная, методическая погрешности и способы их описания. </w:t>
      </w:r>
    </w:p>
    <w:p>
      <w:pPr>
        <w:pStyle w:val="14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Погрешности косвенных измерений. </w:t>
      </w:r>
    </w:p>
    <w:p>
      <w:pPr>
        <w:pStyle w:val="14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Суммирование погрешностей, выбор средств измерений. </w:t>
      </w:r>
    </w:p>
    <w:p>
      <w:pPr>
        <w:pStyle w:val="14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Правовые основы метрологической деятельности, структура и функции метрологической службы. </w:t>
      </w:r>
    </w:p>
    <w:p>
      <w:pPr>
        <w:pStyle w:val="14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Метрологическое обеспечение производства. </w:t>
      </w:r>
    </w:p>
    <w:p>
      <w:pPr>
        <w:pStyle w:val="14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Государственный метрологический надзор.</w:t>
      </w:r>
    </w:p>
    <w:p>
      <w:pPr>
        <w:pStyle w:val="14"/>
        <w:tabs>
          <w:tab w:val="left" w:pos="851"/>
        </w:tabs>
        <w:ind w:left="0"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2. Правовые основы стандартов на технические средства измерений и системы стандартизации</w:t>
      </w:r>
    </w:p>
    <w:p>
      <w:pPr>
        <w:pStyle w:val="14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Основы государственной системы стандартизации. </w:t>
      </w:r>
    </w:p>
    <w:p>
      <w:pPr>
        <w:pStyle w:val="14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Законодательная и нормативная база стандартизации. </w:t>
      </w:r>
    </w:p>
    <w:p>
      <w:pPr>
        <w:pStyle w:val="14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Единая система конструкторской документации, единая система технологической документации, </w:t>
      </w:r>
    </w:p>
    <w:p>
      <w:pPr>
        <w:pStyle w:val="14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Единая система стандартов приборостроения. </w:t>
      </w:r>
    </w:p>
    <w:p>
      <w:pPr>
        <w:pStyle w:val="14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Международные организации по стандартизации. </w:t>
      </w:r>
    </w:p>
    <w:p>
      <w:pPr>
        <w:pStyle w:val="14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Государственный контроль и надзор за соблюдением требований государственных стандартов.</w:t>
      </w:r>
    </w:p>
    <w:p>
      <w:pPr>
        <w:pStyle w:val="14"/>
        <w:tabs>
          <w:tab w:val="left" w:pos="851"/>
        </w:tabs>
        <w:ind w:left="0"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3. Электрические приборы постоянного и переменного тока</w:t>
      </w:r>
    </w:p>
    <w:p>
      <w:pPr>
        <w:pStyle w:val="14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Классификация измерительных средств. </w:t>
      </w:r>
    </w:p>
    <w:p>
      <w:pPr>
        <w:pStyle w:val="14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Электронно-лучевые осциллографы. </w:t>
      </w:r>
    </w:p>
    <w:p>
      <w:pPr>
        <w:pStyle w:val="14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Воспроизведение формы и измерение параметров сигнала. </w:t>
      </w:r>
    </w:p>
    <w:p>
      <w:pPr>
        <w:pStyle w:val="14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Осциллографирование измерение параметров сигнала. </w:t>
      </w:r>
    </w:p>
    <w:p>
      <w:pPr>
        <w:pStyle w:val="14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Осциллографирование амплитудно-частотной характеристики. </w:t>
      </w:r>
    </w:p>
    <w:p>
      <w:pPr>
        <w:pStyle w:val="14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Принципы измерения частоты при помощи частотомеров. </w:t>
      </w:r>
    </w:p>
    <w:p>
      <w:pPr>
        <w:pStyle w:val="14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Измерение фазовых сдвигов. </w:t>
      </w:r>
    </w:p>
    <w:p>
      <w:pPr>
        <w:pStyle w:val="14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Анализаторы спектров. </w:t>
      </w:r>
    </w:p>
    <w:p>
      <w:pPr>
        <w:pStyle w:val="14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Метод вольтметра- амперметра. </w:t>
      </w:r>
    </w:p>
    <w:p>
      <w:pPr>
        <w:pStyle w:val="14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Электронные амперметры. </w:t>
      </w:r>
    </w:p>
    <w:p>
      <w:pPr>
        <w:pStyle w:val="14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Измерительные мосты. </w:t>
      </w:r>
    </w:p>
    <w:p>
      <w:pPr>
        <w:pStyle w:val="14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Электронно-лучевые осциллографы. </w:t>
      </w:r>
    </w:p>
    <w:p>
      <w:pPr>
        <w:pStyle w:val="14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Воспроизведение формы и измерение параметров сигнала. </w:t>
      </w:r>
    </w:p>
    <w:p>
      <w:pPr>
        <w:pStyle w:val="14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Осциллографирование амплитудно-частотной характеристики. </w:t>
      </w:r>
    </w:p>
    <w:p>
      <w:pPr>
        <w:pStyle w:val="14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Принципы измерения частоты при помощи частотомеров. </w:t>
      </w:r>
    </w:p>
    <w:p>
      <w:pPr>
        <w:pStyle w:val="14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Измерение фазовых сдвигов. </w:t>
      </w:r>
    </w:p>
    <w:p>
      <w:pPr>
        <w:pStyle w:val="14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Анализаторы спектров.</w:t>
      </w:r>
    </w:p>
    <w:p>
      <w:pPr>
        <w:pStyle w:val="14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Резонансные методы.</w:t>
      </w:r>
    </w:p>
    <w:p>
      <w:pPr>
        <w:pStyle w:val="14"/>
        <w:tabs>
          <w:tab w:val="left" w:pos="851"/>
        </w:tabs>
        <w:ind w:left="0"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4. Измерение электрических величин и параметров элементов электрических цепей</w:t>
      </w:r>
    </w:p>
    <w:p>
      <w:pPr>
        <w:pStyle w:val="14"/>
        <w:numPr>
          <w:ilvl w:val="0"/>
          <w:numId w:val="5"/>
        </w:numPr>
        <w:tabs>
          <w:tab w:val="left" w:pos="851"/>
          <w:tab w:val="left" w:pos="108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Метод вольтметра- амперметра. </w:t>
      </w:r>
    </w:p>
    <w:p>
      <w:pPr>
        <w:pStyle w:val="14"/>
        <w:numPr>
          <w:ilvl w:val="0"/>
          <w:numId w:val="5"/>
        </w:numPr>
        <w:tabs>
          <w:tab w:val="left" w:pos="851"/>
          <w:tab w:val="left" w:pos="1080"/>
        </w:tabs>
        <w:ind w:left="0" w:firstLine="567"/>
        <w:rPr>
          <w:sz w:val="28"/>
          <w:szCs w:val="28"/>
        </w:rPr>
      </w:pPr>
      <w:r>
        <w:rPr>
          <w:iCs/>
          <w:sz w:val="28"/>
          <w:szCs w:val="28"/>
        </w:rPr>
        <w:t>Электронные амперметры</w:t>
      </w:r>
      <w:r>
        <w:rPr>
          <w:sz w:val="28"/>
          <w:szCs w:val="28"/>
        </w:rPr>
        <w:t xml:space="preserve">. </w:t>
      </w:r>
    </w:p>
    <w:p>
      <w:pPr>
        <w:pStyle w:val="14"/>
        <w:numPr>
          <w:ilvl w:val="0"/>
          <w:numId w:val="5"/>
        </w:numPr>
        <w:tabs>
          <w:tab w:val="left" w:pos="851"/>
          <w:tab w:val="left" w:pos="108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Измерительные мосты. </w:t>
      </w:r>
    </w:p>
    <w:p>
      <w:pPr>
        <w:pStyle w:val="14"/>
        <w:numPr>
          <w:ilvl w:val="0"/>
          <w:numId w:val="5"/>
        </w:numPr>
        <w:tabs>
          <w:tab w:val="left" w:pos="851"/>
          <w:tab w:val="left" w:pos="108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Резонансные методы.</w:t>
      </w:r>
    </w:p>
    <w:p>
      <w:pPr>
        <w:pStyle w:val="14"/>
        <w:numPr>
          <w:ilvl w:val="0"/>
          <w:numId w:val="5"/>
        </w:numPr>
        <w:tabs>
          <w:tab w:val="left" w:pos="851"/>
          <w:tab w:val="left" w:pos="108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Общие сведения о применении электрических методов и средств измерения. </w:t>
      </w:r>
    </w:p>
    <w:p>
      <w:pPr>
        <w:pStyle w:val="14"/>
        <w:numPr>
          <w:ilvl w:val="0"/>
          <w:numId w:val="5"/>
        </w:numPr>
        <w:tabs>
          <w:tab w:val="left" w:pos="851"/>
          <w:tab w:val="left" w:pos="108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Структурные схемы электрических приборов для измерения неэлектрических величин. </w:t>
      </w:r>
    </w:p>
    <w:p>
      <w:pPr>
        <w:pStyle w:val="14"/>
        <w:numPr>
          <w:ilvl w:val="0"/>
          <w:numId w:val="5"/>
        </w:numPr>
        <w:tabs>
          <w:tab w:val="left" w:pos="851"/>
          <w:tab w:val="left" w:pos="108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Измерительные преобразователи.</w:t>
      </w:r>
    </w:p>
    <w:p>
      <w:pPr>
        <w:rPr>
          <w:rFonts w:ascii="Times New Roman" w:hAnsi="Times New Roman" w:cs="Times New Roman"/>
          <w:sz w:val="28"/>
          <w:szCs w:val="28"/>
        </w:rPr>
      </w:pPr>
    </w:p>
    <w:sectPr>
      <w:footerReference r:id="rId5" w:type="default"/>
      <w:pgSz w:w="11906" w:h="16838"/>
      <w:pgMar w:top="993" w:right="850" w:bottom="1134" w:left="1134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Times New Roman" w:hAnsi="Times New Roman" w:cs="Times New Roman"/>
        <w:sz w:val="28"/>
        <w:szCs w:val="28"/>
      </w:rPr>
    </w:pPr>
  </w:p>
  <w:p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C906A3"/>
    <w:multiLevelType w:val="multilevel"/>
    <w:tmpl w:val="02C906A3"/>
    <w:lvl w:ilvl="0" w:tentative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81B003F"/>
    <w:multiLevelType w:val="multilevel"/>
    <w:tmpl w:val="181B003F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91E49A1"/>
    <w:multiLevelType w:val="multilevel"/>
    <w:tmpl w:val="191E49A1"/>
    <w:lvl w:ilvl="0" w:tentative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E205CAB"/>
    <w:multiLevelType w:val="multilevel"/>
    <w:tmpl w:val="1E205CAB"/>
    <w:lvl w:ilvl="0" w:tentative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32263EB"/>
    <w:multiLevelType w:val="multilevel"/>
    <w:tmpl w:val="332263EB"/>
    <w:lvl w:ilvl="0" w:tentative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removePersonalInformation/>
  <w:hideGrammaticalErrors/>
  <w:documentProtection w:enforcement="0"/>
  <w:defaultTabStop w:val="708"/>
  <w:drawingGridHorizontalSpacing w:val="1000"/>
  <w:drawingGridVerticalSpacing w:val="100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5C7"/>
    <w:rsid w:val="000134FE"/>
    <w:rsid w:val="00040766"/>
    <w:rsid w:val="001660B9"/>
    <w:rsid w:val="00763C24"/>
    <w:rsid w:val="00970852"/>
    <w:rsid w:val="00A855C7"/>
    <w:rsid w:val="00A90061"/>
    <w:rsid w:val="00C53532"/>
    <w:rsid w:val="00DE73DA"/>
    <w:rsid w:val="5AAD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nhideWhenUsed/>
    <w:qFormat/>
    <w:uiPriority w:val="0"/>
    <w:pPr>
      <w:spacing w:after="120"/>
    </w:pPr>
    <w:rPr>
      <w:rFonts w:ascii="Times New Roman" w:hAnsi="Times New Roman" w:eastAsia="Calibri" w:cs="Times New Roman"/>
    </w:rPr>
  </w:style>
  <w:style w:type="paragraph" w:styleId="5">
    <w:name w:val="footer"/>
    <w:basedOn w:val="1"/>
    <w:unhideWhenUsed/>
    <w:qFormat/>
    <w:uiPriority w:val="0"/>
    <w:pPr>
      <w:tabs>
        <w:tab w:val="center" w:pos="4677"/>
        <w:tab w:val="right" w:pos="9355"/>
      </w:tabs>
      <w:spacing w:after="0" w:line="240" w:lineRule="auto"/>
    </w:pPr>
  </w:style>
  <w:style w:type="character" w:styleId="6">
    <w:name w:val="Hyperlink"/>
    <w:basedOn w:val="2"/>
    <w:unhideWhenUsed/>
    <w:qFormat/>
    <w:uiPriority w:val="0"/>
    <w:rPr>
      <w:color w:val="0563C1"/>
      <w:u w:val="single"/>
    </w:rPr>
  </w:style>
  <w:style w:type="table" w:styleId="7">
    <w:name w:val="Table Grid"/>
    <w:basedOn w:val="3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Report_Main Знак"/>
    <w:basedOn w:val="2"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9">
    <w:name w:val="Report_Head Знак"/>
    <w:uiPriority w:val="0"/>
    <w:rPr>
      <w:rFonts w:ascii="Times New Roman" w:hAnsi="Times New Roman" w:eastAsia="Times New Roman" w:cs="Times New Roman"/>
      <w:kern w:val="1"/>
      <w:sz w:val="28"/>
      <w:szCs w:val="24"/>
      <w:lang w:eastAsia="hi-IN" w:bidi="hi-IN"/>
    </w:rPr>
  </w:style>
  <w:style w:type="character" w:customStyle="1" w:styleId="10">
    <w:name w:val="Основной текст Знак"/>
    <w:basedOn w:val="2"/>
    <w:uiPriority w:val="0"/>
    <w:rPr>
      <w:rFonts w:ascii="Times New Roman" w:hAnsi="Times New Roman" w:eastAsia="Calibri" w:cs="Times New Roman"/>
    </w:rPr>
  </w:style>
  <w:style w:type="character" w:customStyle="1" w:styleId="11">
    <w:name w:val="Нижний колонтитул Знак"/>
    <w:basedOn w:val="2"/>
    <w:uiPriority w:val="0"/>
  </w:style>
  <w:style w:type="paragraph" w:customStyle="1" w:styleId="12">
    <w:name w:val="Default"/>
    <w:uiPriority w:val="0"/>
    <w:pPr>
      <w:autoSpaceDE w:val="0"/>
      <w:autoSpaceDN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customStyle="1" w:styleId="13">
    <w:name w:val="Report_Head"/>
    <w:basedOn w:val="1"/>
    <w:qFormat/>
    <w:uiPriority w:val="0"/>
    <w:pPr>
      <w:suppressAutoHyphens/>
      <w:spacing w:after="0" w:line="100" w:lineRule="atLeast"/>
      <w:ind w:left="357" w:hanging="357"/>
      <w:jc w:val="center"/>
    </w:pPr>
    <w:rPr>
      <w:rFonts w:ascii="Times New Roman" w:hAnsi="Times New Roman" w:eastAsia="Times New Roman" w:cs="Times New Roman"/>
      <w:kern w:val="1"/>
      <w:sz w:val="28"/>
      <w:szCs w:val="24"/>
      <w:lang w:eastAsia="hi-IN" w:bidi="hi-IN"/>
    </w:rPr>
  </w:style>
  <w:style w:type="paragraph" w:customStyle="1" w:styleId="14">
    <w:name w:val="Report_Main"/>
    <w:basedOn w:val="1"/>
    <w:qFormat/>
    <w:uiPriority w:val="0"/>
    <w:pPr>
      <w:spacing w:after="0" w:line="240" w:lineRule="auto"/>
      <w:ind w:left="357" w:hanging="357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2122</Words>
  <Characters>12096</Characters>
  <Lines>100</Lines>
  <Paragraphs>28</Paragraphs>
  <TotalTime>0</TotalTime>
  <ScaleCrop>false</ScaleCrop>
  <LinksUpToDate>false</LinksUpToDate>
  <CharactersWithSpaces>14190</CharactersWithSpaces>
  <Application>WPS Office_12.2.0.13201_F1E327BC-269C-435d-A152-05C5408002CA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2024-04-23T05:36:00Z</dcterms:created>
  <cp:lastPrinted>2019-04-04T10:13:00Z</cp:lastPrinted>
  <dcterms:modified xsi:type="dcterms:W3CDTF">2024-04-24T07:42:06Z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1033-12.2.0.13201</vt:lpwstr>
  </property>
  <property fmtid="{D5CDD505-2E9C-101B-9397-08002B2CF9AE}" pid="3" name="ICV">
    <vt:lpwstr>CDCFAA2460444E5A8661C6318FF2E00B_12</vt:lpwstr>
  </property>
</Properties>
</file>