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240" w:lineRule="auto"/>
        <w:jc w:val="right"/>
        <w:rPr>
          <w:b/>
          <w:i/>
          <w:szCs w:val="28"/>
        </w:rPr>
      </w:pPr>
      <w:r>
        <w:rPr>
          <w:b/>
          <w:i/>
          <w:szCs w:val="28"/>
        </w:rPr>
        <w:t>На правах рукописи</w:t>
      </w:r>
    </w:p>
    <w:p>
      <w:pPr>
        <w:pStyle w:val="11"/>
        <w:spacing w:line="240" w:lineRule="auto"/>
        <w:rPr>
          <w:szCs w:val="28"/>
        </w:rPr>
      </w:pPr>
    </w:p>
    <w:p>
      <w:pPr>
        <w:pStyle w:val="11"/>
        <w:spacing w:line="240" w:lineRule="auto"/>
        <w:rPr>
          <w:szCs w:val="28"/>
        </w:rPr>
      </w:pPr>
    </w:p>
    <w:p>
      <w:pPr>
        <w:pStyle w:val="11"/>
        <w:spacing w:line="240" w:lineRule="auto"/>
        <w:rPr>
          <w:szCs w:val="28"/>
        </w:rPr>
      </w:pPr>
      <w:r>
        <w:rPr>
          <w:szCs w:val="28"/>
        </w:rPr>
        <w:t>МИНОБРНАУКИ РОССИИ</w:t>
      </w:r>
    </w:p>
    <w:p>
      <w:pPr>
        <w:pStyle w:val="11"/>
        <w:spacing w:line="240" w:lineRule="auto"/>
        <w:rPr>
          <w:szCs w:val="28"/>
        </w:rPr>
      </w:pPr>
    </w:p>
    <w:p>
      <w:pPr>
        <w:pStyle w:val="11"/>
        <w:spacing w:line="240" w:lineRule="auto"/>
        <w:rPr>
          <w:szCs w:val="28"/>
        </w:rPr>
      </w:pPr>
      <w:r>
        <w:rPr>
          <w:szCs w:val="28"/>
        </w:rPr>
        <w:t>Федеральное государственное бюджетное образовательное учреждение</w:t>
      </w:r>
    </w:p>
    <w:p>
      <w:pPr>
        <w:pStyle w:val="11"/>
        <w:spacing w:line="240" w:lineRule="auto"/>
        <w:rPr>
          <w:szCs w:val="28"/>
        </w:rPr>
      </w:pPr>
      <w:r>
        <w:rPr>
          <w:szCs w:val="28"/>
        </w:rPr>
        <w:t>высшего образования</w:t>
      </w:r>
    </w:p>
    <w:p>
      <w:pPr>
        <w:pStyle w:val="11"/>
        <w:spacing w:line="240" w:lineRule="auto"/>
        <w:rPr>
          <w:b/>
          <w:szCs w:val="28"/>
        </w:rPr>
      </w:pPr>
      <w:r>
        <w:rPr>
          <w:b/>
          <w:szCs w:val="28"/>
        </w:rPr>
        <w:t>«Оренбургский государственный университет»</w:t>
      </w:r>
    </w:p>
    <w:p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автоматизированного электропривода,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электромеханики и электротехники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11"/>
        <w:spacing w:line="240" w:lineRule="auto"/>
        <w:rPr>
          <w:szCs w:val="28"/>
        </w:rPr>
      </w:pPr>
      <w:r>
        <w:rPr>
          <w:szCs w:val="28"/>
        </w:rPr>
        <w:t>Методические указания для обучающихся по освоению дисциплины</w:t>
      </w:r>
    </w:p>
    <w:p>
      <w:pPr>
        <w:pStyle w:val="11"/>
        <w:spacing w:line="240" w:lineRule="auto"/>
        <w:rPr>
          <w:szCs w:val="28"/>
        </w:rPr>
      </w:pPr>
    </w:p>
    <w:p>
      <w:pPr>
        <w:pStyle w:val="11"/>
        <w:spacing w:before="120"/>
        <w:rPr>
          <w:i/>
          <w:szCs w:val="28"/>
        </w:rPr>
      </w:pPr>
      <w:r>
        <w:rPr>
          <w:i/>
          <w:szCs w:val="28"/>
        </w:rPr>
        <w:t>«Б1.Д.В.Э.2.1 Электрические измерения»</w:t>
      </w:r>
    </w:p>
    <w:p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1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Уровень высшего образования</w:t>
      </w:r>
    </w:p>
    <w:p>
      <w:pPr>
        <w:pStyle w:val="1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БАКАЛАВРИАТ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>Направление подготовки</w:t>
      </w:r>
    </w:p>
    <w:p>
      <w:pPr>
        <w:pStyle w:val="11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13.03.02 Электроэнергетика и электротехника</w:t>
      </w:r>
    </w:p>
    <w:p>
      <w:pPr>
        <w:pStyle w:val="11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(код и наименование направления подготовки)</w:t>
      </w:r>
    </w:p>
    <w:p>
      <w:pPr>
        <w:pStyle w:val="11"/>
        <w:suppressAutoHyphens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Электропривод и автоматика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>
      <w:pPr>
        <w:pStyle w:val="11"/>
        <w:rPr>
          <w:sz w:val="28"/>
          <w:szCs w:val="28"/>
        </w:rPr>
      </w:pPr>
      <w:r>
        <w:rPr>
          <w:sz w:val="28"/>
          <w:szCs w:val="28"/>
        </w:rPr>
        <w:t>Квалификация</w:t>
      </w:r>
    </w:p>
    <w:p>
      <w:pPr>
        <w:pStyle w:val="11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Бакалавр</w:t>
      </w: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8"/>
          <w:szCs w:val="28"/>
        </w:rPr>
      </w:pPr>
    </w:p>
    <w:p>
      <w:pPr>
        <w:pStyle w:val="11"/>
        <w:spacing w:line="240" w:lineRule="auto"/>
        <w:rPr>
          <w:sz w:val="24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Оренбург, 2024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предназначены для самостоятельного изучения разделов и тем дисциплины для обучающихся направления подготовки 13.03.02 «Электроэнергетика и электротехника» (профиля) «Электропривод и автоматика»</w:t>
      </w:r>
    </w:p>
    <w:p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 ____________________Л.В. </w:t>
      </w:r>
      <w:r>
        <w:rPr>
          <w:rFonts w:ascii="Times New Roman" w:hAnsi="Times New Roman" w:eastAsia="Calibri" w:cs="Times New Roman"/>
          <w:sz w:val="28"/>
          <w:szCs w:val="28"/>
        </w:rPr>
        <w:t>Быковская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рассмотрены и одобрены на заседании кафедры автоматизированного электропривода, электромеханики и электротехники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заведующего кафедрой _______________________А.С.  Безгин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являются приложением к рабочей программе по дисциплине «Б1.Д.В.Э.2.1 Электрические измерения», зарегистрированной в ЦИТ под учетным номером ________________.</w:t>
      </w:r>
    </w:p>
    <w:p>
      <w:pPr>
        <w:pStyle w:val="11"/>
        <w:spacing w:line="240" w:lineRule="auto"/>
        <w:jc w:val="right"/>
        <w:rPr>
          <w:b/>
        </w:rPr>
      </w:pPr>
      <w:r>
        <w:rPr>
          <w:b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5962015</wp:posOffset>
                </wp:positionH>
                <wp:positionV relativeFrom="paragraph">
                  <wp:posOffset>107950</wp:posOffset>
                </wp:positionV>
                <wp:extent cx="520700" cy="534670"/>
                <wp:effectExtent l="6350" t="6350" r="6350" b="6350"/>
                <wp:wrapNone/>
                <wp:docPr id="1025" name="shape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solidFill>
                            <a:schemeClr val="l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25" o:spid="_x0000_s1026" o:spt="1" style="position:absolute;left:0pt;margin-left:469.45pt;margin-top:8.5pt;height:42.1pt;width:41pt;z-index:251659264;v-text-anchor:middle;mso-width-relative:page;mso-height-relative:page;" fillcolor="#FFFFFF [3201]" filled="t" stroked="t" coordsize="21600,21600" o:gfxdata="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vdwJvXAAAACwEAAA8AAAAAAAAAAQAgAAAAIgAAAGRycy9kb3ducmV2LnhtbFBLAQIU&#10;ABQAAAAIAIdO4kDT02Aq9AEAACgEAAAOAAAAAAAAAAEAIAAAACYBAABkcnMvZTJvRG9jLnhtbFBL&#10;BQYAAAAABgAGAFkBAACMBQAAAAA=&#10;">
                <v:fill on="t" focussize="0,0"/>
                <v:stroke weight="1pt" color="#FFFFFF [3201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</w:rPr>
        <w:br w:type="page"/>
      </w:r>
    </w:p>
    <w:p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Содержание</w:t>
      </w:r>
    </w:p>
    <w:p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  <w:gridCol w:w="8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Методические указания к лекционным занятиям . . . . . . . . . . . . . . . . . . </w:t>
            </w:r>
          </w:p>
        </w:tc>
        <w:tc>
          <w:tcPr>
            <w:tcW w:w="84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Методические указания к лабораторным занятиям . . . . . . . . . . . . . . . . . </w:t>
            </w:r>
          </w:p>
        </w:tc>
        <w:tc>
          <w:tcPr>
            <w:tcW w:w="84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Методические указания к контрольной работе . . . . . . . . . . . . . . . . . . . . . </w:t>
            </w:r>
          </w:p>
        </w:tc>
        <w:tc>
          <w:tcPr>
            <w:tcW w:w="84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Методические указания по рубежному и итоговому контролю . . . . . . . .</w:t>
            </w:r>
          </w:p>
        </w:tc>
        <w:tc>
          <w:tcPr>
            <w:tcW w:w="845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>
      <w:pPr>
        <w:pStyle w:val="1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Методические указания по лекционным занятиям</w:t>
      </w:r>
    </w:p>
    <w:p>
      <w:pPr>
        <w:pStyle w:val="10"/>
        <w:ind w:firstLine="709"/>
        <w:jc w:val="both"/>
        <w:rPr>
          <w:b/>
          <w:sz w:val="28"/>
          <w:szCs w:val="28"/>
        </w:rPr>
      </w:pP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рекомендации призваны помочь студентам организовать самостоятельную работу при изучении курса.</w:t>
      </w: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чтение учебников и учебных пособий.</w:t>
      </w: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несколько методов работы с литературой.</w:t>
      </w: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путем сведения легко забываются.</w:t>
      </w: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полученные сведения с ранее известными.</w:t>
      </w: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улучшения обработки информации очень важно устанавливать осмысленные связи, структурировать новые сведения.</w:t>
      </w: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научной, учебной и иной литературы требует ведения рабочих записей.</w:t>
      </w: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записей может быть весьма разнообразной: простой или развернутый план, тезисы, цитаты, конспект.</w:t>
      </w: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может быть простым и развернутым.</w:t>
      </w:r>
    </w:p>
    <w:p>
      <w:pPr>
        <w:pStyle w:val="10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квинтэссенцию содержания прочитанного.</w:t>
      </w:r>
    </w:p>
    <w:p>
      <w:pPr>
        <w:pStyle w:val="10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даталогические сведения. </w:t>
      </w:r>
    </w:p>
    <w:p>
      <w:pPr>
        <w:pStyle w:val="10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Тезисы – сжатое изложение содержания изученного материала в утвердительной (реже опровергающей) форме. </w:t>
      </w:r>
    </w:p>
    <w:p>
      <w:pPr>
        <w:pStyle w:val="10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сложности.</w:t>
      </w:r>
    </w:p>
    <w:p>
      <w:pPr>
        <w:pStyle w:val="10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Аннотация – краткое изложение основного содержания исходного источника информации, дающее о нем обобщенное представление.</w:t>
      </w:r>
    </w:p>
    <w:p>
      <w:pPr>
        <w:pStyle w:val="10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 выдержки оригинального текста.</w:t>
      </w:r>
    </w:p>
    <w:p>
      <w:pPr>
        <w:pStyle w:val="10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>
      <w:pPr>
        <w:pStyle w:val="10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>
      <w:pPr>
        <w:pStyle w:val="10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(цитаты) наиболее примечательных мест в сочетании с планом источника, а также сжатый анализ записанного материала и выводы по нему.</w:t>
      </w:r>
    </w:p>
    <w:p>
      <w:pPr>
        <w:pStyle w:val="1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Для работы над конспектом следует:</w:t>
      </w:r>
    </w:p>
    <w:p>
      <w:pPr>
        <w:pStyle w:val="1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 изучения оригинального текста;</w:t>
      </w:r>
    </w:p>
    <w:p>
      <w:pPr>
        <w:pStyle w:val="1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соответствии со структурой конспекта произвести отбор и последующую запись;</w:t>
      </w:r>
    </w:p>
    <w:p>
      <w:pPr>
        <w:pStyle w:val="1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оригиналу;</w:t>
      </w:r>
    </w:p>
    <w:p>
      <w:pPr>
        <w:pStyle w:val="1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листах-вкладках);</w:t>
      </w:r>
    </w:p>
    <w:p>
      <w:pPr>
        <w:pStyle w:val="1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 текста, а также общих выводов.</w:t>
      </w:r>
    </w:p>
    <w:p>
      <w:pPr>
        <w:pStyle w:val="1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 существу исследуемого вопроса.</w:t>
      </w:r>
    </w:p>
    <w:p>
      <w:pPr>
        <w:pStyle w:val="10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по изучению разделов и тем дисциплины с постраничным указанием глав, разделов, параграфов представлена в таблице 1.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>Таблица 1</w:t>
      </w:r>
    </w:p>
    <w:tbl>
      <w:tblPr>
        <w:tblStyle w:val="6"/>
        <w:tblW w:w="1063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3679"/>
        <w:gridCol w:w="2557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994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раздела</w:t>
            </w:r>
          </w:p>
        </w:tc>
        <w:tc>
          <w:tcPr>
            <w:tcW w:w="3679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книги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994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79" w:type="dxa"/>
            <w:vMerge w:val="restart"/>
          </w:tcPr>
          <w:p>
            <w:pPr>
              <w:pStyle w:val="10"/>
              <w:suppressAutoHyphens/>
              <w:rPr>
                <w:szCs w:val="22"/>
              </w:rPr>
            </w:pPr>
            <w:r>
              <w:rPr>
                <w:szCs w:val="22"/>
              </w:rPr>
              <w:t>Основные термины и определения. Классификации современных средств электрических измерений. Сигналы измерительной информации: детерминированные и случайные аналоговые, дискретные. Связь между характеристиками аналоговых и дискретизированных сигналов. Обработка и представление результатов измерений. Основы теории погрешностей: абсолютная, относительная, систематическая, случайная, методическая погрешности и способы их описания. Погрешности косвенных измерений. Суммирование погрешностей, выбор средств измерений. Нормирование метрологических характеристик средств измерений, классы точности. Оценка погрешностей методом прямых измерений и счисления. Способы повышения точности средств измерения.</w:t>
            </w: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 В.И. Метрологическое обеспечение технических систем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"http://znanium.com/catalog.php?bookinfo=406752"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24"/>
                <w:szCs w:val="24"/>
              </w:rPr>
              <w:t>http://znanium.com/catalog.php?bookinfo=406752</w:t>
            </w:r>
            <w:r>
              <w:rPr>
                <w:rStyle w:val="5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7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Шпаков, П.С. Математическая обработка результатов измерений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"http://znanium.com/catalog.php?bookinfo=550266"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24"/>
                <w:szCs w:val="24"/>
              </w:rPr>
              <w:t>http://znanium.com/catalog.php?bookinfo=550266</w:t>
            </w:r>
            <w:r>
              <w:rPr>
                <w:rStyle w:val="5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994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79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Измерительные приборы в Государственной системе промышленных приборов. Составные части и их принцип действия. Знаки на шкалах и щитках приборов. Аналоговые измерительные приборы: вольтметры, амперметры и ваттметры. Схемы включения. Счётчики электрической энергии. Виды преобразователей. Влияние формы кривой измеряемого напряжения на показания аналогового электронного вольтметра. Устройство и принцип работы цифровых приборов. Методы преобразования непрерывной величины в дискретную. Кодоимпульсное время- и частотно-импульсное преобразования. Основные технические характеристики ЦАП и АЦП. Отличительные особенности и преимущества цифровых средств измерения перед аналоговыми. Электронные осциллографы. Виртуальные измерительные приборы и системы.</w:t>
            </w: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Кириллов В.И. Метрологическое обеспечение технических систем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"http://znanium.com/catalog.php?bookinfo=406752"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24"/>
                <w:szCs w:val="24"/>
              </w:rPr>
              <w:t>http://znanium.com/catalog.php?bookinfo=406752</w:t>
            </w:r>
            <w:r>
              <w:rPr>
                <w:rStyle w:val="5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 А.В. Электрические измерения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fldChar w:fldCharType="begin"/>
            </w:r>
            <w:r>
              <w:instrText xml:space="preserve"> HYPERLINK "http://znanium.com/bookread2.php?book=939363" </w:instrText>
            </w:r>
            <w:r>
              <w:fldChar w:fldCharType="separate"/>
            </w:r>
            <w:r>
              <w:rPr>
                <w:rStyle w:val="5"/>
              </w:rPr>
              <w:t>http://znanium.com/bookread2.php?book=939363</w:t>
            </w:r>
            <w:r>
              <w:rPr>
                <w:rStyle w:val="5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Аристов А. И. Метрология, стандартизация, сертификация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5"/>
                <w:rFonts w:ascii="Times New Roman" w:hAnsi="Times New Roman" w:cs="Times New Roman"/>
                <w:sz w:val="24"/>
                <w:szCs w:val="24"/>
              </w:rPr>
              <w:t>http://znanium.com/bookread2.php?book=369646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Федосов, В.П. Цифровая обработка сигналов в LabVIEW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Style w:val="5"/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"http://biblioclub.ru/index.php?page=book&amp;id=86134"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color w:val="006CA1"/>
                <w:sz w:val="24"/>
                <w:szCs w:val="24"/>
              </w:rPr>
              <w:t>http://biblioclub.ru/index.php?page=book&amp;id=86134</w:t>
            </w:r>
            <w:r>
              <w:rPr>
                <w:rStyle w:val="5"/>
                <w:rFonts w:ascii="Times New Roman" w:hAnsi="Times New Roman" w:cs="Times New Roman"/>
                <w:color w:val="006CA1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</w:trPr>
        <w:tc>
          <w:tcPr>
            <w:tcW w:w="994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79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Измерение сопротивления с помощью амперметра и вольтметра. Схема с одним вольтметром. Схема с одним амперметром. Схема с амперметром и вольтметром. Измерение больших сопротивлений. Измерение сопротивления омметром. Мостовые схемы для измерения параметров электрических цепей. Одинарный и двойной мосты. Метрологические характеристики. Измерение индуктивности и емкости методом замещения. Измерение полной проводимости, активного сопротивления и добротности. Измерение напряжения, тока и мощности в цепях постоянного и переменного токов. Измерение параметров гармонического напряжения с помощью осциллографа. Измерение частоты и периода электрических сигналов.</w:t>
            </w: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Батоврин, В.К. LabVIEW: практикум по основам измерительных технологий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"http://biblioclub.ru/index.php?page=book&amp;id=231868"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color w:val="006CA1"/>
                <w:sz w:val="24"/>
                <w:szCs w:val="24"/>
              </w:rPr>
              <w:t>http://biblioclub.ru/index.php?page=book&amp;id=231868</w:t>
            </w:r>
            <w:r>
              <w:rPr>
                <w:rStyle w:val="5"/>
                <w:rFonts w:ascii="Times New Roman" w:hAnsi="Times New Roman" w:cs="Times New Roman"/>
                <w:color w:val="006CA1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</w:trPr>
        <w:tc>
          <w:tcPr>
            <w:tcW w:w="99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Кравцов А.В. Электрические измерения</w:t>
            </w:r>
          </w:p>
        </w:tc>
        <w:tc>
          <w:tcPr>
            <w:tcW w:w="340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fldChar w:fldCharType="begin"/>
            </w:r>
            <w:r>
              <w:instrText xml:space="preserve"> HYPERLINK "http://znanium.com/bookread2.php?book=939363" </w:instrText>
            </w:r>
            <w:r>
              <w:fldChar w:fldCharType="separate"/>
            </w:r>
            <w:r>
              <w:rPr>
                <w:rStyle w:val="5"/>
              </w:rPr>
              <w:t>http://znanium.com/bookread2.php?book=939363</w:t>
            </w:r>
            <w:r>
              <w:rPr>
                <w:rStyle w:val="5"/>
              </w:rPr>
              <w:fldChar w:fldCharType="end"/>
            </w:r>
          </w:p>
        </w:tc>
      </w:tr>
    </w:tbl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Методические указания к лабораторным работам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лабораторных занятий строится в три этапа: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Выделение из лекционного материала и самостоятельной работы общего объёма информации об основах электроизмерений.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Выполнение заданий лабораторных работ по:</w:t>
      </w:r>
    </w:p>
    <w:p>
      <w:pPr>
        <w:pStyle w:val="12"/>
        <w:suppressAutoHyphens/>
        <w:ind w:left="0" w:firstLine="709"/>
      </w:pPr>
      <w:r>
        <w:t>Батоврин, В.К. LabVIEW: практикум по основам измерительных технологий: учебное пособие / В.К. Батоврин, А.С. Бессонов, В.В. Мошкин, В.Ф. Папуловский. - 2-е изд., перераб. и доп. - Москва : ДМК Пресс, 2009. - 232 с. : ил. - ISBN 978-5-94074-498-6; [Электронный ресурс]:</w:t>
      </w:r>
      <w:r>
        <w:rPr>
          <w:color w:val="454545"/>
        </w:rPr>
        <w:t xml:space="preserve"> </w:t>
      </w:r>
      <w:r>
        <w:fldChar w:fldCharType="begin"/>
      </w:r>
      <w:r>
        <w:instrText xml:space="preserve"> HYPERLINK "http://biblioclub.ru/index.php?page=book&amp;id=231868" </w:instrText>
      </w:r>
      <w:r>
        <w:fldChar w:fldCharType="separate"/>
      </w:r>
      <w:r>
        <w:rPr>
          <w:rStyle w:val="5"/>
          <w:color w:val="006CA1"/>
        </w:rPr>
        <w:t>http://biblioclub.ru/index.php?page=book&amp;id=231868</w:t>
      </w:r>
      <w:r>
        <w:rPr>
          <w:rStyle w:val="5"/>
          <w:color w:val="006CA1"/>
        </w:rPr>
        <w:fldChar w:fldCharType="end"/>
      </w:r>
    </w:p>
    <w:p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Самостоятельное решение дополнительных задач и подготовка к защите работ.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лабораторных занятий разделам самостоятельной работы указано в таблице 2 и пересекается с вычитываемым лекционным материалом.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3260"/>
        <w:gridCol w:w="2977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696" w:type="dxa"/>
            <w:vMerge w:val="restart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6237" w:type="dxa"/>
            <w:gridSpan w:val="2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занятия согласно форме обучения</w:t>
            </w:r>
          </w:p>
        </w:tc>
        <w:tc>
          <w:tcPr>
            <w:tcW w:w="1979" w:type="dxa"/>
            <w:vMerge w:val="restart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раздела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696" w:type="dxa"/>
            <w:vMerge w:val="continue"/>
            <w:vAlign w:val="center"/>
          </w:tcPr>
          <w:p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очной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</w:p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заочной/ </w:t>
            </w:r>
          </w:p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заочной ускоренной</w:t>
            </w:r>
          </w:p>
        </w:tc>
        <w:tc>
          <w:tcPr>
            <w:tcW w:w="1979" w:type="dxa"/>
            <w:vMerge w:val="continue"/>
            <w:vAlign w:val="center"/>
          </w:tcPr>
          <w:p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>
            <w:pPr>
              <w:pStyle w:val="12"/>
              <w:suppressAutoHyphens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>
            <w:pPr>
              <w:pStyle w:val="12"/>
              <w:suppressAutoHyphens/>
              <w:jc w:val="center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>
            <w:pPr>
              <w:pStyle w:val="12"/>
              <w:suppressAutoHyphens/>
              <w:jc w:val="center"/>
            </w:pPr>
            <w: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>
            <w:pPr>
              <w:pStyle w:val="12"/>
              <w:suppressAutoHyphens/>
              <w:jc w:val="center"/>
            </w:pPr>
            <w: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>
            <w:pPr>
              <w:pStyle w:val="12"/>
              <w:suppressAutoHyphens/>
              <w:jc w:val="center"/>
            </w:pPr>
            <w: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</w:tcPr>
          <w:p>
            <w:pPr>
              <w:pStyle w:val="12"/>
              <w:suppressAutoHyphens/>
              <w:jc w:val="center"/>
            </w:pPr>
            <w: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>
            <w:pPr>
              <w:pStyle w:val="12"/>
              <w:suppressAutoHyphens/>
              <w:jc w:val="center"/>
            </w:pPr>
            <w:r>
              <w:t>2,3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</w:tcPr>
          <w:p>
            <w:pPr>
              <w:pStyle w:val="12"/>
              <w:suppressAutoHyphens/>
              <w:jc w:val="center"/>
            </w:pPr>
            <w:r>
              <w:t>2,3</w:t>
            </w:r>
          </w:p>
        </w:tc>
      </w:tr>
    </w:tbl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закрепления аудиторной работы предлагается самостоятельное ознакомление с вопросами, заданиями и упражнениями, размещенными в конце каждого параграфа основных источников литературы.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закрепления лабораторных работ также рекомендуется к изучению: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Федосов, В.П. Цифровая обработка сигналов в LabVIEW : учебное пособие / В.П. Федосов, А.К. Нестеренко. - Москва : ДМК Пресс, 2013. - 469 с. - ISBN 5-94074-342-0 ; [Электронный ресурс]: </w:t>
      </w:r>
      <w:r>
        <w:fldChar w:fldCharType="begin"/>
      </w:r>
      <w:r>
        <w:instrText xml:space="preserve"> HYPERLINK "http://biblioclub.ru/index.php?page=book&amp;id=86134" </w:instrText>
      </w:r>
      <w:r>
        <w:fldChar w:fldCharType="separate"/>
      </w:r>
      <w:r>
        <w:rPr>
          <w:rStyle w:val="5"/>
          <w:rFonts w:ascii="Times New Roman" w:hAnsi="Times New Roman" w:cs="Times New Roman"/>
          <w:color w:val="006CA1"/>
          <w:sz w:val="24"/>
          <w:szCs w:val="24"/>
        </w:rPr>
        <w:t>http://biblioclub.ru/index.php?page=book&amp;id=86134</w:t>
      </w:r>
      <w:r>
        <w:rPr>
          <w:rStyle w:val="5"/>
          <w:rFonts w:ascii="Times New Roman" w:hAnsi="Times New Roman" w:cs="Times New Roman"/>
          <w:color w:val="006CA1"/>
          <w:sz w:val="24"/>
          <w:szCs w:val="24"/>
        </w:rPr>
        <w:fldChar w:fldCharType="end"/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Методические указания к контрольной работе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задания для контрольной работы подробно описаны:</w:t>
      </w:r>
    </w:p>
    <w:p>
      <w:pPr>
        <w:pStyle w:val="12"/>
        <w:suppressAutoHyphens/>
        <w:ind w:left="0" w:firstLine="709"/>
      </w:pPr>
      <w:r>
        <w:t>Батоврин, В.К. LabVIEW: практикум по основам измерительных технологий: учебное пособие / В.К. Батоврин, А.С. Бессонов, В.В. Мошкин, В.Ф. Папуловский. - 2-е изд., перераб. и доп. - Москва : ДМК Пресс, 2009. - 232 с. : ил. - ISBN 978-5-94074-498-6; [Электронный ресурс]:</w:t>
      </w:r>
      <w:r>
        <w:rPr>
          <w:color w:val="454545"/>
        </w:rPr>
        <w:t xml:space="preserve"> </w:t>
      </w:r>
      <w:r>
        <w:fldChar w:fldCharType="begin"/>
      </w:r>
      <w:r>
        <w:instrText xml:space="preserve"> HYPERLINK "http://biblioclub.ru/index.php?page=book&amp;id=231868" </w:instrText>
      </w:r>
      <w:r>
        <w:fldChar w:fldCharType="separate"/>
      </w:r>
      <w:r>
        <w:rPr>
          <w:rStyle w:val="5"/>
          <w:color w:val="006CA1"/>
        </w:rPr>
        <w:t>http://biblioclub.ru/index.php?page=book&amp;id=231868</w:t>
      </w:r>
      <w:r>
        <w:rPr>
          <w:rStyle w:val="5"/>
          <w:color w:val="006CA1"/>
        </w:rPr>
        <w:fldChar w:fldCharType="end"/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выполняется в качестве домашнего задания и её наличие необходимо при сдаче итоговой формы контроля. Форма отчёта – печатная версия, оформленная в соответствии с установленными правилами ОГУ.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задания ориентировано на углубленное самостоятельное изучение всех разделов читаемой дисциплины в соответствии с приведенной в таблице 1 литературой.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Возникающие вопросы при выполнении заданий, входящих в состав контрольной работы задаются преподавателю по окончанию практических занятий, либо по электронной почте.</w:t>
      </w:r>
    </w:p>
    <w:p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Методические указания по рубежному и итоговому контролю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Рубежный контроль осуществляется только на дневной форме обучения по результатам выполнения самостоятельных заданий в процессе выполнения и защиты лабораторных работ.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экзамену предлагатеся следующий перечень вопросов по изученным разделам:</w:t>
      </w:r>
    </w:p>
    <w:p>
      <w:pPr>
        <w:pStyle w:val="12"/>
        <w:tabs>
          <w:tab w:val="left" w:pos="851"/>
          <w:tab w:val="left" w:pos="1134"/>
        </w:tabs>
        <w:ind w:left="0" w:firstLine="567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1. Общие сведения об измерениях и их погрешностях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Теория погрешностей: абсолютная, относительная, систематическая, случайная, методическая погрешности и способы их описания. 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Погрешности косвенных измерений. 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Суммирование погрешностей, выбор средств измерений. 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Правовые основы метрологической деятельности, структура и функции метрологической службы. 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Метрологическое обеспечение производства. 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Государственный метрологический надзор.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Виды сигналов измерительной информации.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Связь между характеристиками аналоговых и дискретизированных сигналов.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Обработка и представление результатов измерений.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Виды погрешностей.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Классы точности средств измерения.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Методы оценки погрешностей измерений.</w:t>
      </w:r>
    </w:p>
    <w:p>
      <w:pPr>
        <w:pStyle w:val="12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Способы повышения точности средств измерения.</w:t>
      </w:r>
    </w:p>
    <w:p>
      <w:pPr>
        <w:pStyle w:val="12"/>
        <w:tabs>
          <w:tab w:val="left" w:pos="851"/>
          <w:tab w:val="left" w:pos="1134"/>
        </w:tabs>
        <w:ind w:left="567" w:firstLine="0"/>
        <w:rPr>
          <w:sz w:val="28"/>
          <w:szCs w:val="28"/>
        </w:rPr>
      </w:pPr>
    </w:p>
    <w:p>
      <w:pPr>
        <w:pStyle w:val="12"/>
        <w:tabs>
          <w:tab w:val="left" w:pos="851"/>
        </w:tabs>
        <w:ind w:left="0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2. Измерительные приборы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Основы государственной системы стандартизации. 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Законодательная и нормативная база стандартизации. 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Единая система конструкторской документации, единая система технологической документации.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Аналоговые измерительные приборы.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Счётчики электрической энергии.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Виды преобразователей.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Влияние формы кривой измеряемого напряжения на показания аналогового электронного вольтметра.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Устройство и принцип работы цифровых приборов.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Методы преобразования непрерывной величины в дискретную.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Кодоимпульсное время- и частотно-импульсное преобразования.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Основные технические характеристики ЦАП и АЦП. 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Отличительные особенности и преимущества цифровых средств измерения перед аналоговыми. </w:t>
      </w:r>
    </w:p>
    <w:p>
      <w:pPr>
        <w:pStyle w:val="12"/>
        <w:numPr>
          <w:ilvl w:val="0"/>
          <w:numId w:val="3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Электронные осциллографы. </w:t>
      </w:r>
    </w:p>
    <w:p>
      <w:pPr>
        <w:pStyle w:val="12"/>
        <w:suppressAutoHyphens/>
        <w:ind w:left="567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 Методы электрических и компьютерных измерений</w:t>
      </w:r>
    </w:p>
    <w:p>
      <w:pPr>
        <w:pStyle w:val="12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Виртуальные измерительные приборы и системы.</w:t>
      </w:r>
    </w:p>
    <w:p>
      <w:pPr>
        <w:pStyle w:val="12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Измерение сопротивления с помощью амперметра и вольтметра.</w:t>
      </w:r>
    </w:p>
    <w:p>
      <w:pPr>
        <w:pStyle w:val="12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Измерение больших сопротивлений.</w:t>
      </w:r>
    </w:p>
    <w:p>
      <w:pPr>
        <w:pStyle w:val="12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Мостовые схемы для измерения параметров электрических цепей. </w:t>
      </w:r>
    </w:p>
    <w:p>
      <w:pPr>
        <w:pStyle w:val="12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Измерение индуктивности и емкости методом замещения. </w:t>
      </w:r>
    </w:p>
    <w:p>
      <w:pPr>
        <w:pStyle w:val="12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Измерение полной проводимости, активного сопротивления и добротности.</w:t>
      </w:r>
    </w:p>
    <w:p>
      <w:pPr>
        <w:pStyle w:val="12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Измерение напряжения, тока и мощности в цепях постоянного и переменного токов. </w:t>
      </w:r>
    </w:p>
    <w:p>
      <w:pPr>
        <w:pStyle w:val="12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Измерение параметров гармонического напряжения с помощью осциллографа.</w:t>
      </w:r>
    </w:p>
    <w:p>
      <w:pPr>
        <w:pStyle w:val="12"/>
        <w:numPr>
          <w:ilvl w:val="0"/>
          <w:numId w:val="4"/>
        </w:numPr>
        <w:tabs>
          <w:tab w:val="left" w:pos="851"/>
          <w:tab w:val="left" w:pos="1134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Измерение частоты и периода электрических сигналов.</w:t>
      </w:r>
    </w:p>
    <w:sectPr>
      <w:footerReference r:id="rId5" w:type="default"/>
      <w:pgSz w:w="11906" w:h="16838"/>
      <w:pgMar w:top="993" w:right="850" w:bottom="1134" w:left="1134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Times New Roman" w:hAnsi="Times New Roman" w:cs="Times New Roman"/>
        <w:sz w:val="28"/>
        <w:szCs w:val="28"/>
      </w:rPr>
    </w:pP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1B003F"/>
    <w:multiLevelType w:val="multilevel"/>
    <w:tmpl w:val="181B003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B0F5777"/>
    <w:multiLevelType w:val="multilevel"/>
    <w:tmpl w:val="1B0F5777"/>
    <w:lvl w:ilvl="0" w:tentative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E205CAB"/>
    <w:multiLevelType w:val="multilevel"/>
    <w:tmpl w:val="1E205CAB"/>
    <w:lvl w:ilvl="0" w:tentative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32263EB"/>
    <w:multiLevelType w:val="multilevel"/>
    <w:tmpl w:val="332263EB"/>
    <w:lvl w:ilvl="0" w:tentative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hideGrammaticalErrors/>
  <w:documentProtection w:enforcement="0"/>
  <w:defaultTabStop w:val="708"/>
  <w:drawingGridHorizontalSpacing w:val="1000"/>
  <w:drawingGridVerticalSpacing w:val="100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7CB"/>
    <w:rsid w:val="006131EC"/>
    <w:rsid w:val="00901820"/>
    <w:rsid w:val="009E20A8"/>
    <w:rsid w:val="00CB46AC"/>
    <w:rsid w:val="00D82BD0"/>
    <w:rsid w:val="00E0684A"/>
    <w:rsid w:val="00F207CB"/>
    <w:rsid w:val="5412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uiPriority w:val="0"/>
    <w:pPr>
      <w:tabs>
        <w:tab w:val="center" w:pos="4677"/>
        <w:tab w:val="right" w:pos="9355"/>
      </w:tabs>
      <w:spacing w:after="0" w:line="240" w:lineRule="auto"/>
    </w:pPr>
  </w:style>
  <w:style w:type="character" w:styleId="5">
    <w:name w:val="Hyperlink"/>
    <w:basedOn w:val="2"/>
    <w:unhideWhenUsed/>
    <w:uiPriority w:val="0"/>
    <w:rPr>
      <w:color w:val="0563C1"/>
      <w:u w:val="single"/>
    </w:rPr>
  </w:style>
  <w:style w:type="table" w:styleId="6">
    <w:name w:val="Table Grid"/>
    <w:basedOn w:val="3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Нижний колонтитул Знак"/>
    <w:basedOn w:val="2"/>
    <w:uiPriority w:val="0"/>
  </w:style>
  <w:style w:type="character" w:customStyle="1" w:styleId="8">
    <w:name w:val="Report_Head Знак"/>
    <w:uiPriority w:val="0"/>
    <w:rPr>
      <w:rFonts w:ascii="Times New Roman" w:hAnsi="Times New Roman" w:eastAsia="Times New Roman" w:cs="Times New Roman"/>
      <w:kern w:val="1"/>
      <w:sz w:val="28"/>
      <w:szCs w:val="24"/>
      <w:lang w:eastAsia="hi-IN" w:bidi="hi-IN"/>
    </w:rPr>
  </w:style>
  <w:style w:type="character" w:customStyle="1" w:styleId="9">
    <w:name w:val="Report_Main Знак"/>
    <w:basedOn w:val="2"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">
    <w:name w:val="Default"/>
    <w:uiPriority w:val="0"/>
    <w:pPr>
      <w:autoSpaceDE w:val="0"/>
      <w:autoSpaceDN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1">
    <w:name w:val="Report_Head"/>
    <w:basedOn w:val="1"/>
    <w:uiPriority w:val="0"/>
    <w:pPr>
      <w:suppressAutoHyphens/>
      <w:spacing w:after="0" w:line="100" w:lineRule="atLeast"/>
      <w:ind w:left="357" w:hanging="357"/>
      <w:jc w:val="center"/>
    </w:pPr>
    <w:rPr>
      <w:rFonts w:ascii="Times New Roman" w:hAnsi="Times New Roman" w:eastAsia="Times New Roman" w:cs="Times New Roman"/>
      <w:kern w:val="1"/>
      <w:sz w:val="28"/>
      <w:szCs w:val="24"/>
      <w:lang w:eastAsia="hi-IN" w:bidi="hi-IN"/>
    </w:rPr>
  </w:style>
  <w:style w:type="paragraph" w:customStyle="1" w:styleId="12">
    <w:name w:val="Report_Main"/>
    <w:basedOn w:val="1"/>
    <w:uiPriority w:val="0"/>
    <w:pPr>
      <w:spacing w:after="0" w:line="240" w:lineRule="auto"/>
      <w:ind w:left="357" w:hanging="357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2397</Words>
  <Characters>13663</Characters>
  <Lines>113</Lines>
  <Paragraphs>32</Paragraphs>
  <TotalTime>0</TotalTime>
  <ScaleCrop>false</ScaleCrop>
  <LinksUpToDate>false</LinksUpToDate>
  <CharactersWithSpaces>16028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2023-03-12T08:39:00Z</dcterms:created>
  <cp:lastPrinted>2019-04-04T10:13:00Z</cp:lastPrinted>
  <dcterms:modified xsi:type="dcterms:W3CDTF">2024-04-26T08:11:10Z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1033-12.2.0.13201</vt:lpwstr>
  </property>
  <property fmtid="{D5CDD505-2E9C-101B-9397-08002B2CF9AE}" pid="3" name="ICV">
    <vt:lpwstr>8CCF617AA19F4E108290D059992ACFD4_13</vt:lpwstr>
  </property>
</Properties>
</file>