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F744BC">
        <w:rPr>
          <w:i/>
          <w:sz w:val="24"/>
        </w:rPr>
        <w:t>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922C33">
        <w:rPr>
          <w:i/>
          <w:sz w:val="24"/>
          <w:u w:val="single"/>
        </w:rPr>
        <w:t>Уголовно</w:t>
      </w:r>
      <w:bookmarkStart w:id="1" w:name="_GoBack"/>
      <w:bookmarkEnd w:id="1"/>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2E0509">
        <w:t>4</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922C33">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922C33"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практических умений и навыков  составление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r w:rsidRPr="00F25B42">
        <w:rPr>
          <w:lang w:eastAsia="en-US"/>
        </w:rPr>
        <w:t>Обучающиймся при подготовке к лекционному занятию  необходимо:</w:t>
      </w:r>
      <w:r w:rsidRPr="00DA2707">
        <w:rPr>
          <w:lang w:eastAsia="en-US"/>
        </w:rPr>
        <w:t>:</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На практических занятиях обучающиеся овладевают первоначальными профессиональными умениями и навыками в областями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гражданства .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предпринимательско-правовой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вариант:  обсуждение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r w:rsidRPr="006F56FA">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r w:rsidRPr="006F56FA">
        <w:t xml:space="preserve">Подготовка  к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922C33">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2A14D3"/>
    <w:rsid w:val="002E0509"/>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4052"/>
    <w:rsid w:val="00756327"/>
    <w:rsid w:val="00757352"/>
    <w:rsid w:val="007E1C12"/>
    <w:rsid w:val="00802250"/>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22C3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5A04"/>
    <w:rsid w:val="00B7763A"/>
    <w:rsid w:val="00BA2D49"/>
    <w:rsid w:val="00BC079C"/>
    <w:rsid w:val="00BC38AD"/>
    <w:rsid w:val="00BD1142"/>
    <w:rsid w:val="00BD5629"/>
    <w:rsid w:val="00C01E0F"/>
    <w:rsid w:val="00C0641D"/>
    <w:rsid w:val="00C06C24"/>
    <w:rsid w:val="00C44466"/>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219C"/>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744BC"/>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19B14-C97F-4464-9B42-3E27B29A2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5163</Words>
  <Characters>29433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2019-10-17T09:10:00Z</cp:lastPrinted>
  <dcterms:created xsi:type="dcterms:W3CDTF">2024-05-05T19:51:00Z</dcterms:created>
  <dcterms:modified xsi:type="dcterms:W3CDTF">2024-05-05T19:51:00Z</dcterms:modified>
</cp:coreProperties>
</file>