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F639B0">
        <w:rPr>
          <w:i/>
          <w:szCs w:val="28"/>
        </w:rPr>
        <w:t>Правотворческий процесс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1664D8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2024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BookmarkTestIsMustDelChr13"/>
      <w:bookmarkEnd w:id="1"/>
      <w:r w:rsidRPr="009B06EB">
        <w:rPr>
          <w:sz w:val="28"/>
          <w:szCs w:val="28"/>
        </w:rPr>
        <w:lastRenderedPageBreak/>
        <w:t>Методические указания предназначены для контроля знаний обучающихся по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>направлению подготовки 40.03.01 Юриспруденция  по дисциплине «</w:t>
      </w:r>
      <w:r>
        <w:rPr>
          <w:sz w:val="28"/>
          <w:szCs w:val="28"/>
        </w:rPr>
        <w:t>Правотворческий процесс</w:t>
      </w:r>
      <w:r w:rsidRPr="009B06EB">
        <w:rPr>
          <w:sz w:val="28"/>
          <w:szCs w:val="28"/>
        </w:rPr>
        <w:t>» для очной формы обучения</w:t>
      </w: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 xml:space="preserve">      </w:t>
      </w:r>
      <w:r w:rsidRPr="009B06EB">
        <w:rPr>
          <w:sz w:val="28"/>
          <w:szCs w:val="28"/>
        </w:rPr>
        <w:t xml:space="preserve">____________________ </w:t>
      </w:r>
      <w:r>
        <w:rPr>
          <w:sz w:val="28"/>
          <w:szCs w:val="28"/>
        </w:rPr>
        <w:t>И.А. Воронина</w:t>
      </w: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 20</w:t>
      </w:r>
      <w:r>
        <w:rPr>
          <w:sz w:val="28"/>
          <w:szCs w:val="28"/>
        </w:rPr>
        <w:t>2</w:t>
      </w:r>
      <w:r w:rsidR="001664D8">
        <w:rPr>
          <w:sz w:val="28"/>
          <w:szCs w:val="28"/>
        </w:rPr>
        <w:t>4</w:t>
      </w:r>
      <w:bookmarkStart w:id="2" w:name="_GoBack"/>
      <w:bookmarkEnd w:id="2"/>
      <w:r w:rsidRPr="009B06EB">
        <w:rPr>
          <w:sz w:val="28"/>
          <w:szCs w:val="28"/>
        </w:rPr>
        <w:t xml:space="preserve">  г. протокол №__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Заведующий кафедрой теории</w:t>
      </w:r>
      <w:r>
        <w:rPr>
          <w:sz w:val="28"/>
          <w:szCs w:val="28"/>
        </w:rPr>
        <w:t xml:space="preserve"> </w:t>
      </w:r>
      <w:r w:rsidRPr="009B06EB">
        <w:rPr>
          <w:sz w:val="28"/>
          <w:szCs w:val="28"/>
        </w:rPr>
        <w:t xml:space="preserve">государства и права 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  <w:r w:rsidRPr="009B06EB">
        <w:rPr>
          <w:sz w:val="28"/>
          <w:szCs w:val="28"/>
        </w:rPr>
        <w:t>и конституционного права</w:t>
      </w:r>
      <w:r w:rsidRPr="009B06EB">
        <w:rPr>
          <w:sz w:val="28"/>
          <w:szCs w:val="28"/>
        </w:rPr>
        <w:tab/>
      </w:r>
      <w:r>
        <w:rPr>
          <w:sz w:val="28"/>
          <w:szCs w:val="28"/>
        </w:rPr>
        <w:t>_______________________</w:t>
      </w:r>
      <w:r w:rsidRPr="009B06EB">
        <w:rPr>
          <w:sz w:val="28"/>
          <w:szCs w:val="28"/>
        </w:rPr>
        <w:t>И.А. Воронина</w:t>
      </w: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F639B0" w:rsidRPr="009B06EB" w:rsidRDefault="00F639B0" w:rsidP="00F639B0">
      <w:pPr>
        <w:spacing w:after="0" w:line="240" w:lineRule="auto"/>
        <w:ind w:firstLine="709"/>
        <w:rPr>
          <w:sz w:val="28"/>
          <w:szCs w:val="28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F639B0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 w:rsidR="00125804">
        <w:rPr>
          <w:color w:val="000000"/>
          <w:sz w:val="24"/>
          <w:szCs w:val="24"/>
        </w:rPr>
        <w:t>1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3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3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4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Основной целью выполнения </w:t>
      </w:r>
      <w:r w:rsidR="00F639B0">
        <w:rPr>
          <w:color w:val="000000"/>
          <w:sz w:val="24"/>
          <w:szCs w:val="24"/>
        </w:rPr>
        <w:t>реферата</w:t>
      </w:r>
      <w:r w:rsidRPr="00C42966">
        <w:rPr>
          <w:color w:val="000000"/>
          <w:sz w:val="24"/>
          <w:szCs w:val="24"/>
        </w:rPr>
        <w:t xml:space="preserve"> является развитие мышления и творческих способностей студента.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Выполнение реферата позволит студенту закрепить и углубить полученные знания по </w:t>
      </w:r>
      <w:r w:rsidRPr="00C42966">
        <w:rPr>
          <w:color w:val="000000"/>
          <w:sz w:val="24"/>
          <w:szCs w:val="24"/>
        </w:rPr>
        <w:lastRenderedPageBreak/>
        <w:t>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Основная часть работы должна полностью раскрывать тему, не выходя за пределы </w:t>
      </w:r>
      <w:r w:rsidRPr="00C42966">
        <w:rPr>
          <w:color w:val="000000"/>
          <w:sz w:val="24"/>
          <w:szCs w:val="24"/>
        </w:rPr>
        <w:lastRenderedPageBreak/>
        <w:t xml:space="preserve">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Заключение подводит итог работы, в нем кратко излагаются основные выводы. Объем 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Работа должна быть прошитой и пронумерованной, номер страницы на титульном листе не ставится. При согласовании с преподавателем реферат может быть сдан в электронной форме.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5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5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>Одним из видов интерактивных методов обучения является дискуссия,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>вырабатывается определенная установка на решение поставленной 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Создать необходимую мотивацию, т.е. изложить проблему, показать ее значимость, </w:t>
      </w:r>
      <w:r w:rsidRPr="00C42966">
        <w:rPr>
          <w:color w:val="000000"/>
        </w:rPr>
        <w:lastRenderedPageBreak/>
        <w:t>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Добиться чувства удовлетворения у большинства участников, т.е. поблагодарить </w:t>
      </w:r>
      <w:r w:rsidRPr="00C42966">
        <w:rPr>
          <w:color w:val="000000"/>
        </w:rPr>
        <w:lastRenderedPageBreak/>
        <w:t>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4A1CD0" w:rsidRDefault="004A1CD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6" w:name="_Toc5817387"/>
    </w:p>
    <w:p w:rsidR="00C42966" w:rsidRPr="00C42966" w:rsidRDefault="00F639B0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6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639B0">
        <w:rPr>
          <w:sz w:val="24"/>
          <w:szCs w:val="24"/>
        </w:rPr>
        <w:t>Правотворческий процесс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зачета</w:t>
      </w:r>
      <w:r w:rsidR="00F639B0">
        <w:rPr>
          <w:sz w:val="24"/>
          <w:szCs w:val="24"/>
        </w:rPr>
        <w:t>.</w:t>
      </w:r>
      <w:r w:rsidR="00D60A82">
        <w:rPr>
          <w:sz w:val="24"/>
          <w:szCs w:val="24"/>
        </w:rPr>
        <w:t xml:space="preserve">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lastRenderedPageBreak/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дисциплины, аттестационная ведомость, утвержденные заведующим кафедрой билеты.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F639B0" w:rsidRPr="00910081" w:rsidRDefault="00F639B0" w:rsidP="00F639B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F639B0">
        <w:t>Положением об отчислении обучающихся из ОГУ</w:t>
      </w:r>
      <w:r w:rsidRPr="00910081">
        <w:t>.</w:t>
      </w:r>
      <w:proofErr w:type="gramEnd"/>
    </w:p>
    <w:p w:rsidR="00D60A82" w:rsidRPr="00CD6717" w:rsidRDefault="00D60A82" w:rsidP="00D60A82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CD6717">
        <w:t>.</w:t>
      </w:r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A0" w:rsidRDefault="00D717A0" w:rsidP="000E2197">
      <w:pPr>
        <w:spacing w:after="0" w:line="240" w:lineRule="auto"/>
      </w:pPr>
      <w:r>
        <w:separator/>
      </w:r>
    </w:p>
  </w:endnote>
  <w:endnote w:type="continuationSeparator" w:id="0">
    <w:p w:rsidR="00D717A0" w:rsidRDefault="00D717A0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4D8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A0" w:rsidRDefault="00D717A0" w:rsidP="000E2197">
      <w:pPr>
        <w:spacing w:after="0" w:line="240" w:lineRule="auto"/>
      </w:pPr>
      <w:r>
        <w:separator/>
      </w:r>
    </w:p>
  </w:footnote>
  <w:footnote w:type="continuationSeparator" w:id="0">
    <w:p w:rsidR="00D717A0" w:rsidRDefault="00D717A0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B3A65"/>
    <w:rsid w:val="000B4371"/>
    <w:rsid w:val="000E2197"/>
    <w:rsid w:val="0010459C"/>
    <w:rsid w:val="00125804"/>
    <w:rsid w:val="001664D8"/>
    <w:rsid w:val="00183092"/>
    <w:rsid w:val="001C0E90"/>
    <w:rsid w:val="001C4B8D"/>
    <w:rsid w:val="00226F65"/>
    <w:rsid w:val="002E6ECA"/>
    <w:rsid w:val="0032305A"/>
    <w:rsid w:val="00356F38"/>
    <w:rsid w:val="003616C7"/>
    <w:rsid w:val="003D19FC"/>
    <w:rsid w:val="00426EFE"/>
    <w:rsid w:val="00483DF5"/>
    <w:rsid w:val="004A1CD0"/>
    <w:rsid w:val="0058560D"/>
    <w:rsid w:val="005D4CBF"/>
    <w:rsid w:val="00600EA9"/>
    <w:rsid w:val="006034D3"/>
    <w:rsid w:val="00705A32"/>
    <w:rsid w:val="0075594F"/>
    <w:rsid w:val="0076508A"/>
    <w:rsid w:val="007E3ABD"/>
    <w:rsid w:val="008171C2"/>
    <w:rsid w:val="00832733"/>
    <w:rsid w:val="00836989"/>
    <w:rsid w:val="008D7DB9"/>
    <w:rsid w:val="008E09FC"/>
    <w:rsid w:val="008E2822"/>
    <w:rsid w:val="008E55E8"/>
    <w:rsid w:val="00932829"/>
    <w:rsid w:val="00966B65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74F1"/>
    <w:rsid w:val="00D60A82"/>
    <w:rsid w:val="00D717A0"/>
    <w:rsid w:val="00D86057"/>
    <w:rsid w:val="00DB02F1"/>
    <w:rsid w:val="00E050F8"/>
    <w:rsid w:val="00E46FAD"/>
    <w:rsid w:val="00EF71A0"/>
    <w:rsid w:val="00F053AB"/>
    <w:rsid w:val="00F639B0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B8F77-C579-4794-9C8B-88234EC5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Haier</cp:lastModifiedBy>
  <cp:revision>42</cp:revision>
  <dcterms:created xsi:type="dcterms:W3CDTF">2019-09-18T17:55:00Z</dcterms:created>
  <dcterms:modified xsi:type="dcterms:W3CDTF">2024-05-07T22:54:00Z</dcterms:modified>
</cp:coreProperties>
</file>