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47278E" w:rsidRDefault="0047278E" w:rsidP="0047278E">
      <w:pPr>
        <w:pStyle w:val="ReportHead"/>
        <w:suppressAutoHyphens/>
        <w:rPr>
          <w:i/>
        </w:rPr>
      </w:pPr>
      <w:r>
        <w:rPr>
          <w:i/>
        </w:rPr>
        <w:t>«Информационные технологии и программирование»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CF0418" w:rsidRDefault="00CF0418" w:rsidP="00CF04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</w:t>
      </w:r>
      <w:r w:rsidR="00C25E44">
        <w:rPr>
          <w:i/>
          <w:sz w:val="24"/>
          <w:u w:val="single"/>
        </w:rPr>
        <w:t>3</w:t>
      </w:r>
      <w:r w:rsidR="00C25E44" w:rsidRPr="00C25E44">
        <w:rPr>
          <w:i/>
          <w:sz w:val="24"/>
          <w:u w:val="single"/>
        </w:rPr>
        <w:t xml:space="preserve"> </w:t>
      </w:r>
      <w:r w:rsidR="00C25E44">
        <w:rPr>
          <w:i/>
          <w:sz w:val="24"/>
          <w:u w:val="single"/>
        </w:rPr>
        <w:t>Дизайн архитектурной среды</w:t>
      </w:r>
      <w:r w:rsidR="00C25E44">
        <w:rPr>
          <w:i/>
          <w:sz w:val="24"/>
          <w:u w:val="single"/>
        </w:rPr>
        <w:t xml:space="preserve"> 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F0418" w:rsidRDefault="00C25E44" w:rsidP="00CF0418">
      <w:pPr>
        <w:pStyle w:val="ReportHead"/>
        <w:suppressAutoHyphens/>
        <w:rPr>
          <w:i/>
          <w:sz w:val="24"/>
          <w:u w:val="single"/>
        </w:rPr>
      </w:pPr>
      <w:r w:rsidRPr="00C25E44">
        <w:t xml:space="preserve"> </w:t>
      </w:r>
      <w:r w:rsidRPr="00C25E44">
        <w:rPr>
          <w:i/>
          <w:sz w:val="24"/>
          <w:u w:val="single"/>
        </w:rPr>
        <w:t xml:space="preserve">Дизайн архитектурной среды 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0418" w:rsidRDefault="00CF0418" w:rsidP="00CF0418">
      <w:pPr>
        <w:pStyle w:val="ReportHead"/>
        <w:suppressAutoHyphens/>
        <w:rPr>
          <w:sz w:val="24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194D80">
        <w:rPr>
          <w:rFonts w:eastAsiaTheme="minorHAnsi"/>
          <w:sz w:val="28"/>
          <w:szCs w:val="28"/>
          <w:lang w:eastAsia="en-US"/>
        </w:rPr>
        <w:t>4</w:t>
      </w:r>
    </w:p>
    <w:p w:rsidR="00C25E44" w:rsidRDefault="00C25E4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C25E44" w:rsidRDefault="00C25E4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194D80" w:rsidRDefault="001316EB" w:rsidP="00194D80">
      <w:pPr>
        <w:pStyle w:val="ReportHead"/>
        <w:suppressAutoHyphens/>
        <w:spacing w:before="12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194D80">
        <w:rPr>
          <w:rFonts w:eastAsia="Times New Roman"/>
          <w:sz w:val="24"/>
          <w:szCs w:val="24"/>
          <w:lang w:eastAsia="ru-RU"/>
        </w:rPr>
        <w:t>Лекции являются одн</w:t>
      </w:r>
      <w:r w:rsidR="00583F2F" w:rsidRPr="00194D80">
        <w:rPr>
          <w:rFonts w:eastAsia="Times New Roman"/>
          <w:sz w:val="24"/>
          <w:szCs w:val="24"/>
          <w:lang w:eastAsia="ru-RU"/>
        </w:rPr>
        <w:t>ой</w:t>
      </w:r>
      <w:r w:rsidRPr="00194D80">
        <w:rPr>
          <w:rFonts w:eastAsia="Times New Roman"/>
          <w:sz w:val="24"/>
          <w:szCs w:val="24"/>
          <w:lang w:eastAsia="ru-RU"/>
        </w:rPr>
        <w:t xml:space="preserve"> из основных </w:t>
      </w:r>
      <w:r w:rsidR="00583F2F" w:rsidRPr="00194D80">
        <w:rPr>
          <w:rFonts w:eastAsia="Times New Roman"/>
          <w:sz w:val="24"/>
          <w:szCs w:val="24"/>
          <w:lang w:eastAsia="ru-RU"/>
        </w:rPr>
        <w:t>форм</w:t>
      </w:r>
      <w:r w:rsidRPr="00194D80">
        <w:rPr>
          <w:rFonts w:eastAsia="Times New Roman"/>
          <w:sz w:val="24"/>
          <w:szCs w:val="24"/>
          <w:lang w:eastAsia="ru-RU"/>
        </w:rPr>
        <w:t xml:space="preserve"> обучения дисциплине</w:t>
      </w:r>
      <w:r w:rsidR="00194D80" w:rsidRPr="00194D80">
        <w:rPr>
          <w:rFonts w:eastAsia="Times New Roman"/>
          <w:sz w:val="24"/>
          <w:szCs w:val="24"/>
          <w:lang w:eastAsia="ru-RU"/>
        </w:rPr>
        <w:t xml:space="preserve"> </w:t>
      </w:r>
      <w:r w:rsidR="0047278E" w:rsidRPr="0047278E">
        <w:rPr>
          <w:rFonts w:eastAsia="Times New Roman"/>
          <w:sz w:val="24"/>
          <w:szCs w:val="24"/>
          <w:lang w:eastAsia="ru-RU"/>
        </w:rPr>
        <w:t>«Информационные технологии и программирование»</w:t>
      </w:r>
      <w:r w:rsidR="00194D80" w:rsidRPr="00194D80">
        <w:rPr>
          <w:rFonts w:eastAsia="Times New Roman"/>
          <w:sz w:val="24"/>
          <w:szCs w:val="24"/>
          <w:lang w:eastAsia="ru-RU"/>
        </w:rPr>
        <w:t>,</w:t>
      </w:r>
      <w:r w:rsidRPr="00194D80">
        <w:rPr>
          <w:rFonts w:eastAsia="Times New Roman"/>
          <w:sz w:val="24"/>
          <w:szCs w:val="24"/>
          <w:lang w:eastAsia="ru-RU"/>
        </w:rPr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повторить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 w:rsidR="00562E97">
        <w:t>образования</w:t>
      </w:r>
      <w:r w:rsidRPr="007C7B47">
        <w:t xml:space="preserve">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семинарским)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непосредственно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>При подготовке к лекционным, практическим, лабораторным или семинарским занятиям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194D80" w:rsidRPr="00A5791B" w:rsidRDefault="00194D80" w:rsidP="00194D80">
      <w:pPr>
        <w:tabs>
          <w:tab w:val="left" w:pos="-142"/>
        </w:tabs>
        <w:ind w:right="23" w:firstLine="709"/>
        <w:jc w:val="both"/>
      </w:pPr>
      <w:r>
        <w:t>- Трофимов,</w:t>
      </w:r>
      <w:r w:rsidRPr="00A5791B">
        <w:t xml:space="preserve"> Е. </w:t>
      </w:r>
      <w:r>
        <w:t>В</w:t>
      </w:r>
      <w:r w:rsidRPr="00A5791B">
        <w:t xml:space="preserve">. Информационные </w:t>
      </w:r>
      <w:r>
        <w:t xml:space="preserve">технологии </w:t>
      </w:r>
      <w:r w:rsidRPr="00386F84">
        <w:t>[</w:t>
      </w:r>
      <w:r>
        <w:t>Текст</w:t>
      </w:r>
      <w:r w:rsidRPr="00386F84">
        <w:t>]</w:t>
      </w:r>
      <w:r>
        <w:t>: учебное пособие для студентов вузов / под ред.</w:t>
      </w:r>
      <w:r w:rsidRPr="00BB0ED8">
        <w:t xml:space="preserve"> В. В. Трофимова; С.-</w:t>
      </w:r>
      <w:proofErr w:type="spellStart"/>
      <w:r w:rsidRPr="00BB0ED8">
        <w:t>Петерб</w:t>
      </w:r>
      <w:proofErr w:type="spellEnd"/>
      <w:r w:rsidRPr="00BB0ED8">
        <w:t xml:space="preserve">. гос. ун-т экономики и финансов. - </w:t>
      </w:r>
      <w:proofErr w:type="gramStart"/>
      <w:r w:rsidRPr="00BB0ED8">
        <w:t>Москва :</w:t>
      </w:r>
      <w:proofErr w:type="gramEnd"/>
      <w:r w:rsidRPr="00BB0ED8">
        <w:t xml:space="preserve"> </w:t>
      </w:r>
      <w:proofErr w:type="spellStart"/>
      <w:r w:rsidRPr="00BB0ED8">
        <w:t>Юрайт</w:t>
      </w:r>
      <w:proofErr w:type="spellEnd"/>
      <w:r w:rsidRPr="00BB0ED8">
        <w:t xml:space="preserve">, 2011. - 624 с. - (Основы наук). - </w:t>
      </w:r>
      <w:proofErr w:type="spellStart"/>
      <w:r w:rsidRPr="00BB0ED8">
        <w:t>Библиогр</w:t>
      </w:r>
      <w:proofErr w:type="spellEnd"/>
      <w:r w:rsidRPr="00BB0ED8">
        <w:t xml:space="preserve">. в конце разд. - </w:t>
      </w:r>
      <w:proofErr w:type="spellStart"/>
      <w:r w:rsidRPr="00BB0ED8">
        <w:t>ISBN</w:t>
      </w:r>
      <w:proofErr w:type="spellEnd"/>
      <w:r w:rsidRPr="00BB0ED8">
        <w:t xml:space="preserve"> 978-5-9916-0887-9. - </w:t>
      </w:r>
      <w:proofErr w:type="spellStart"/>
      <w:r w:rsidRPr="00BB0ED8">
        <w:t>ISBN</w:t>
      </w:r>
      <w:proofErr w:type="spellEnd"/>
      <w:r w:rsidRPr="00BB0ED8">
        <w:t xml:space="preserve"> 978-5-9692-0993-0.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архитектуре [Электронный ресурс</w:t>
      </w:r>
      <w:proofErr w:type="gramStart"/>
      <w:r w:rsidRPr="00194D80">
        <w:rPr>
          <w:bCs/>
        </w:rPr>
        <w:t>] :</w:t>
      </w:r>
      <w:proofErr w:type="gramEnd"/>
      <w:r w:rsidRPr="00194D80">
        <w:rPr>
          <w:bCs/>
        </w:rPr>
        <w:t xml:space="preserve"> электронный курс лекций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 xml:space="preserve">. гос. бюджет. </w:t>
      </w:r>
      <w:proofErr w:type="spellStart"/>
      <w:r w:rsidRPr="00194D80">
        <w:rPr>
          <w:bCs/>
        </w:rPr>
        <w:t>образоват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"Оренбург. гос. ун-т". - </w:t>
      </w:r>
      <w:proofErr w:type="gramStart"/>
      <w:r w:rsidRPr="00194D80">
        <w:rPr>
          <w:bCs/>
        </w:rPr>
        <w:t>Оренбург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- 6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проектировании строительных систем [Электронный ресурс</w:t>
      </w:r>
      <w:proofErr w:type="gramStart"/>
      <w:r w:rsidRPr="00194D80">
        <w:rPr>
          <w:bCs/>
        </w:rPr>
        <w:t>] :</w:t>
      </w:r>
      <w:proofErr w:type="gramEnd"/>
      <w:r w:rsidRPr="00194D80">
        <w:rPr>
          <w:bCs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Строительство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, Н. Н. </w:t>
      </w:r>
      <w:proofErr w:type="spellStart"/>
      <w:r w:rsidRPr="00194D80">
        <w:rPr>
          <w:bCs/>
        </w:rPr>
        <w:t>Манаева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 xml:space="preserve">. гос. бюджет. </w:t>
      </w:r>
      <w:proofErr w:type="spellStart"/>
      <w:r w:rsidRPr="00194D80">
        <w:rPr>
          <w:bCs/>
        </w:rPr>
        <w:t>образоват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"Оренбург. гос. ун-т". - </w:t>
      </w:r>
      <w:proofErr w:type="gramStart"/>
      <w:r w:rsidRPr="00194D80">
        <w:rPr>
          <w:bCs/>
        </w:rPr>
        <w:t>Оренбург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- 154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r w:rsidRPr="00194D80">
        <w:rPr>
          <w:bCs/>
        </w:rPr>
        <w:t xml:space="preserve"> Хетагуров Я. А., Проектирование автоматизированных систем обработки информации и управления (</w:t>
      </w:r>
      <w:proofErr w:type="spellStart"/>
      <w:r w:rsidRPr="00194D80">
        <w:rPr>
          <w:bCs/>
        </w:rPr>
        <w:t>АСОИУ</w:t>
      </w:r>
      <w:proofErr w:type="spellEnd"/>
      <w:r w:rsidRPr="00194D80">
        <w:rPr>
          <w:bCs/>
        </w:rPr>
        <w:t xml:space="preserve">),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</w:t>
      </w:r>
      <w:proofErr w:type="spellStart"/>
      <w:r w:rsidRPr="00194D80">
        <w:rPr>
          <w:bCs/>
        </w:rPr>
        <w:t>шк</w:t>
      </w:r>
      <w:proofErr w:type="spellEnd"/>
      <w:r w:rsidRPr="00194D80">
        <w:rPr>
          <w:bCs/>
        </w:rPr>
        <w:t xml:space="preserve">., 2006. </w:t>
      </w:r>
    </w:p>
    <w:p w:rsidR="004149C9" w:rsidRDefault="00F94B2B" w:rsidP="00194D80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ind w:left="0" w:firstLine="567"/>
        <w:jc w:val="both"/>
        <w:outlineLvl w:val="1"/>
      </w:pPr>
      <w:r>
        <w:t xml:space="preserve">Вестник компьютерных и информационных </w:t>
      </w:r>
      <w:proofErr w:type="gramStart"/>
      <w:r>
        <w:t>технологий :</w:t>
      </w:r>
      <w:proofErr w:type="gramEnd"/>
      <w:r>
        <w:t xml:space="preserve"> журнал. - </w:t>
      </w:r>
      <w:proofErr w:type="gramStart"/>
      <w:r>
        <w:t>М. :</w:t>
      </w:r>
      <w:proofErr w:type="gramEnd"/>
      <w:r>
        <w:t xml:space="preserve"> Агентство "Роспечать", 2020-2023.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Информационные технологии [Электронный ресурс</w:t>
      </w:r>
      <w:proofErr w:type="gramStart"/>
      <w:r>
        <w:t>] :</w:t>
      </w:r>
      <w:proofErr w:type="gramEnd"/>
      <w:r>
        <w:t xml:space="preserve"> журнал. - Москва: Агентство "Роспечать", 2020-2023 Режим доступа:  </w:t>
      </w:r>
      <w:hyperlink r:id="rId8" w:history="1">
        <w:r>
          <w:rPr>
            <w:rStyle w:val="af"/>
          </w:rPr>
          <w:t>https://dlib.eastview.com/browse/publication/115066/udb/12</w:t>
        </w:r>
      </w:hyperlink>
      <w:r>
        <w:t xml:space="preserve"> 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 Информационные технологии в проектировании и производстве [Электронный ресурс</w:t>
      </w:r>
      <w:proofErr w:type="gramStart"/>
      <w:r>
        <w:t>] :</w:t>
      </w:r>
      <w:proofErr w:type="gramEnd"/>
      <w:r>
        <w:t xml:space="preserve"> журнал. - Москва: Агентство "Роспечать", 2020-2023 Режим доступа: </w:t>
      </w:r>
      <w:hyperlink r:id="rId9" w:history="1">
        <w:r>
          <w:rPr>
            <w:rStyle w:val="af"/>
          </w:rPr>
          <w:t>https://dlib.eastview.com/browse/publication/93930/udb/12</w:t>
        </w:r>
      </w:hyperlink>
      <w:r>
        <w:t xml:space="preserve"> </w:t>
      </w:r>
    </w:p>
    <w:p w:rsidR="00194D80" w:rsidRDefault="00194D80" w:rsidP="00194D80">
      <w:pPr>
        <w:pStyle w:val="ReportMain"/>
        <w:suppressAutoHyphens/>
        <w:ind w:firstLine="567"/>
        <w:jc w:val="both"/>
      </w:pPr>
      <w:r>
        <w:rPr>
          <w:color w:val="0000FF"/>
        </w:rPr>
        <w:t>https://openedu.ru/course/ITMOUniversity/COMTEC/</w:t>
      </w:r>
      <w:r>
        <w:t xml:space="preserve">- «Открытое образование», Каталог курсов, </w:t>
      </w:r>
      <w:proofErr w:type="spellStart"/>
      <w:proofErr w:type="gramStart"/>
      <w:r>
        <w:t>МООК</w:t>
      </w:r>
      <w:proofErr w:type="spellEnd"/>
      <w:r>
        <w:t>:  «</w:t>
      </w:r>
      <w:proofErr w:type="gramEnd"/>
      <w:r>
        <w:t>Информатика для втузов»;</w:t>
      </w:r>
    </w:p>
    <w:p w:rsidR="00194D80" w:rsidRDefault="00C25E44" w:rsidP="00194D80">
      <w:pPr>
        <w:pStyle w:val="ReportMain"/>
        <w:suppressAutoHyphens/>
        <w:ind w:firstLine="567"/>
        <w:jc w:val="both"/>
        <w:rPr>
          <w:b/>
          <w:bCs/>
        </w:rPr>
      </w:pPr>
      <w:hyperlink r:id="rId10" w:history="1">
        <w:r w:rsidR="00194D80">
          <w:rPr>
            <w:rStyle w:val="af"/>
          </w:rPr>
          <w:t>http://univertv.ru/video/informatika/obwee/interaktivnoe_prilozhenie_k_uchebnometodicheskomu_komplektu_po_informatike_i_ikt/?mark=all</w:t>
        </w:r>
      </w:hyperlink>
      <w:r w:rsidR="00194D80">
        <w:t xml:space="preserve">  - Образовательный </w:t>
      </w:r>
      <w:proofErr w:type="spellStart"/>
      <w:r w:rsidR="00194D80">
        <w:t>видеопортал</w:t>
      </w:r>
      <w:proofErr w:type="spellEnd"/>
      <w:r w:rsidR="00194D80">
        <w:t xml:space="preserve"> </w:t>
      </w:r>
      <w:proofErr w:type="spellStart"/>
      <w:r w:rsidR="00194D80">
        <w:rPr>
          <w:lang w:val="en-US"/>
        </w:rPr>
        <w:t>Univertv</w:t>
      </w:r>
      <w:proofErr w:type="spellEnd"/>
      <w:r w:rsidR="00194D80">
        <w:t>.</w:t>
      </w:r>
      <w:proofErr w:type="spellStart"/>
      <w:r w:rsidR="00194D80">
        <w:rPr>
          <w:lang w:val="en-US"/>
        </w:rPr>
        <w:t>ru</w:t>
      </w:r>
      <w:proofErr w:type="spellEnd"/>
      <w:r w:rsidR="00194D80">
        <w:t>: видеокурс «Интерактивное приложение к учебно-методическому комплекту по информатике и ИКТ»</w:t>
      </w:r>
    </w:p>
    <w:p w:rsidR="00194D80" w:rsidRPr="00D0411B" w:rsidRDefault="00194D80" w:rsidP="00194D80">
      <w:pPr>
        <w:pStyle w:val="1"/>
        <w:numPr>
          <w:ilvl w:val="0"/>
          <w:numId w:val="0"/>
        </w:numPr>
        <w:shd w:val="clear" w:color="auto" w:fill="FFFFFF"/>
        <w:spacing w:before="0" w:line="240" w:lineRule="auto"/>
        <w:ind w:firstLine="709"/>
        <w:jc w:val="both"/>
        <w:rPr>
          <w:rFonts w:eastAsia="Calibri"/>
          <w:bCs/>
          <w:color w:val="auto"/>
          <w:sz w:val="24"/>
          <w:szCs w:val="22"/>
        </w:rPr>
      </w:pPr>
      <w:r w:rsidRPr="00D0411B">
        <w:rPr>
          <w:rStyle w:val="af"/>
          <w:sz w:val="24"/>
          <w:szCs w:val="24"/>
        </w:rPr>
        <w:t>http://www.intuit.ru/studies/courses/105/105/info</w:t>
      </w:r>
      <w:r w:rsidRPr="00D0411B">
        <w:t xml:space="preserve"> – </w:t>
      </w:r>
      <w:r w:rsidRPr="00D0411B">
        <w:rPr>
          <w:rFonts w:eastAsia="Calibri"/>
          <w:color w:val="auto"/>
          <w:sz w:val="24"/>
          <w:szCs w:val="22"/>
        </w:rPr>
        <w:t>Национальный открытий университет «Основы информатики и программирования»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Тестирования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194D80" w:rsidRDefault="00194D80" w:rsidP="00194D80">
      <w:pPr>
        <w:numPr>
          <w:ilvl w:val="0"/>
          <w:numId w:val="15"/>
        </w:numPr>
        <w:tabs>
          <w:tab w:val="left" w:pos="567"/>
          <w:tab w:val="left" w:pos="993"/>
        </w:tabs>
        <w:suppressAutoHyphens/>
        <w:ind w:left="0" w:firstLine="709"/>
        <w:jc w:val="both"/>
      </w:pPr>
      <w:r w:rsidRPr="00240F32">
        <w:t xml:space="preserve">Профессионально-образовательный ресурс для студентов </w:t>
      </w:r>
      <w:r>
        <w:t>технических н</w:t>
      </w:r>
      <w:r w:rsidRPr="00240F32">
        <w:t>аправлений подготовки</w:t>
      </w:r>
      <w:r>
        <w:t>. Режим доступа</w:t>
      </w:r>
      <w:r w:rsidRPr="00240F32">
        <w:t xml:space="preserve"> </w:t>
      </w:r>
      <w:hyperlink r:id="rId11" w:history="1">
        <w:r w:rsidRPr="00240F32">
          <w:rPr>
            <w:rStyle w:val="af"/>
          </w:rPr>
          <w:t>https://episteme.ga</w:t>
        </w:r>
      </w:hyperlink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видеохостингах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раздела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содержанию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 xml:space="preserve">усредненных временных интервалов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76131518" r:id="rId13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15pt;height:23.25pt" o:ole="">
            <v:imagedata r:id="rId14" o:title=""/>
          </v:shape>
          <o:OLEObject Type="Embed" ProgID="Equation.3" ShapeID="_x0000_i1026" DrawAspect="Content" ObjectID="_1776131519" r:id="rId15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15pt;height:24.75pt" o:ole="">
            <v:imagedata r:id="rId16" o:title=""/>
          </v:shape>
          <o:OLEObject Type="Embed" ProgID="Equation.3" ShapeID="_x0000_i1027" DrawAspect="Content" ObjectID="_1776131520" r:id="rId17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5.9pt" o:ole="">
            <v:imagedata r:id="rId18" o:title=""/>
          </v:shape>
          <o:OLEObject Type="Embed" ProgID="Equation.3" ShapeID="_x0000_i1028" DrawAspect="Content" ObjectID="_1776131521" r:id="rId19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5.9pt" o:ole="">
            <v:imagedata r:id="rId20" o:title=""/>
          </v:shape>
          <o:OLEObject Type="Embed" ProgID="Equation.3" ShapeID="_x0000_i1029" DrawAspect="Content" ObjectID="_1776131522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обеспечения,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5.9pt" o:ole="">
            <v:imagedata r:id="rId22" o:title=""/>
          </v:shape>
          <o:OLEObject Type="Embed" ProgID="Equation.3" ShapeID="_x0000_i1030" DrawAspect="Content" ObjectID="_1776131523" r:id="rId23"/>
        </w:object>
      </w:r>
      <w:r w:rsidRPr="000C1D70">
        <w:t xml:space="preserve">является некоторой усредненной характеристикой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 w:rsidR="00DB60D6"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формулировкой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сформулировать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письменном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 w:rsidR="00194D80">
        <w:t xml:space="preserve"> 9</w:t>
      </w:r>
      <w:r w:rsidR="00487493">
        <w:t xml:space="preserve"> </w:t>
      </w:r>
      <w:r w:rsidRPr="00284BBC">
        <w:t xml:space="preserve">семестре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4) при посещении не менее 70% всех занятий и выполнении всех запланированных заданий, студент может </w:t>
      </w:r>
      <w:r w:rsidR="00194D80">
        <w:t>быть освобожден от сдачи зачета.</w:t>
      </w:r>
    </w:p>
    <w:p w:rsidR="000C1D70" w:rsidRPr="000C1D70" w:rsidRDefault="000C1D70" w:rsidP="004C1E34">
      <w:pPr>
        <w:pStyle w:val="aa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4B" w:rsidRDefault="00BA394B" w:rsidP="00E01DB3">
      <w:r>
        <w:separator/>
      </w:r>
    </w:p>
  </w:endnote>
  <w:endnote w:type="continuationSeparator" w:id="0">
    <w:p w:rsidR="00BA394B" w:rsidRDefault="00BA394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4B" w:rsidRDefault="00BA394B" w:rsidP="00E01DB3">
      <w:r>
        <w:separator/>
      </w:r>
    </w:p>
  </w:footnote>
  <w:footnote w:type="continuationSeparator" w:id="0">
    <w:p w:rsidR="00BA394B" w:rsidRDefault="00BA394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61E64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6BF27206"/>
    <w:multiLevelType w:val="hybridMultilevel"/>
    <w:tmpl w:val="5CAED26C"/>
    <w:lvl w:ilvl="0" w:tplc="990CCAEA">
      <w:start w:val="1"/>
      <w:numFmt w:val="bullet"/>
      <w:lvlText w:val=""/>
      <w:lvlJc w:val="left"/>
      <w:pPr>
        <w:tabs>
          <w:tab w:val="num" w:pos="5670"/>
        </w:tabs>
        <w:ind w:left="4536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94D80"/>
    <w:rsid w:val="001A4FDD"/>
    <w:rsid w:val="001E3C09"/>
    <w:rsid w:val="00200DAD"/>
    <w:rsid w:val="00250FFB"/>
    <w:rsid w:val="00265526"/>
    <w:rsid w:val="00284BBC"/>
    <w:rsid w:val="002F58F5"/>
    <w:rsid w:val="003170CD"/>
    <w:rsid w:val="00341690"/>
    <w:rsid w:val="003D25EB"/>
    <w:rsid w:val="003E1DFE"/>
    <w:rsid w:val="003E2C0E"/>
    <w:rsid w:val="0040005F"/>
    <w:rsid w:val="004149C9"/>
    <w:rsid w:val="004269E2"/>
    <w:rsid w:val="00437213"/>
    <w:rsid w:val="0047278E"/>
    <w:rsid w:val="00487493"/>
    <w:rsid w:val="00491396"/>
    <w:rsid w:val="004A6CB3"/>
    <w:rsid w:val="004B4C33"/>
    <w:rsid w:val="004C1E34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25E44"/>
    <w:rsid w:val="00C505E4"/>
    <w:rsid w:val="00CC13BF"/>
    <w:rsid w:val="00CF0418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4CFD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115DD09"/>
  <w15:docId w15:val="{6374F8E5-3854-4CCD-8B2C-A60CEF80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ib.eastview.com/browse/publication/115066/udb/12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footer" Target="footer1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://univertv.ru/video/informatika/obwee/interaktivnoe_prilozhenie_k_uchebnometodicheskomu_komplektu_po_informatike_i_ikt/?mark=all" TargetMode="External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hyperlink" Target="https://dlib.eastview.com/browse/publication/93930/udb/12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2024-05-02T00:05:00Z</dcterms:created>
  <dcterms:modified xsi:type="dcterms:W3CDTF">2024-05-02T00:05:00Z</dcterms:modified>
</cp:coreProperties>
</file>