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A026C1" w:rsidRDefault="00A026C1" w:rsidP="00A026C1">
      <w:pPr>
        <w:pStyle w:val="ReportHead0"/>
        <w:suppressAutoHyphens/>
        <w:spacing w:before="120"/>
        <w:rPr>
          <w:i/>
          <w:sz w:val="24"/>
        </w:rPr>
      </w:pPr>
      <w:bookmarkStart w:id="0" w:name="BookmarkWhereDelChr13"/>
      <w:bookmarkEnd w:id="0"/>
      <w:r>
        <w:rPr>
          <w:i/>
          <w:sz w:val="24"/>
        </w:rPr>
        <w:t>«ФДТ.3 Основы военной подготовки»</w:t>
      </w:r>
    </w:p>
    <w:p w:rsidR="00A026C1" w:rsidRDefault="00A026C1" w:rsidP="00A026C1">
      <w:pPr>
        <w:pStyle w:val="ReportHead0"/>
        <w:suppressAutoHyphens/>
        <w:rPr>
          <w:sz w:val="24"/>
        </w:rPr>
      </w:pPr>
    </w:p>
    <w:p w:rsidR="00A026C1" w:rsidRDefault="00A026C1" w:rsidP="00A026C1">
      <w:pPr>
        <w:pStyle w:val="ReportHead0"/>
        <w:suppressAutoHyphens/>
        <w:spacing w:line="360" w:lineRule="auto"/>
        <w:rPr>
          <w:sz w:val="24"/>
        </w:rPr>
      </w:pPr>
      <w:r>
        <w:rPr>
          <w:sz w:val="24"/>
        </w:rPr>
        <w:t>Уровень высшего образования</w:t>
      </w:r>
    </w:p>
    <w:p w:rsidR="00A026C1" w:rsidRDefault="00A026C1" w:rsidP="00A026C1">
      <w:pPr>
        <w:pStyle w:val="ReportHead0"/>
        <w:suppressAutoHyphens/>
        <w:spacing w:line="360" w:lineRule="auto"/>
        <w:rPr>
          <w:sz w:val="24"/>
        </w:rPr>
      </w:pPr>
      <w:r>
        <w:rPr>
          <w:sz w:val="24"/>
        </w:rPr>
        <w:t>БАКАЛАВРИАТ</w:t>
      </w:r>
    </w:p>
    <w:p w:rsidR="00A026C1" w:rsidRDefault="00A026C1" w:rsidP="00A026C1">
      <w:pPr>
        <w:pStyle w:val="ReportHead0"/>
        <w:suppressAutoHyphens/>
        <w:rPr>
          <w:sz w:val="24"/>
        </w:rPr>
      </w:pPr>
      <w:r>
        <w:rPr>
          <w:sz w:val="24"/>
        </w:rPr>
        <w:t>Направление подготовки</w:t>
      </w:r>
    </w:p>
    <w:p w:rsidR="00A026C1" w:rsidRDefault="00A026C1" w:rsidP="00A026C1">
      <w:pPr>
        <w:pStyle w:val="ReportHead0"/>
        <w:suppressAutoHyphens/>
        <w:rPr>
          <w:i/>
          <w:sz w:val="24"/>
          <w:u w:val="single"/>
        </w:rPr>
      </w:pPr>
      <w:r>
        <w:rPr>
          <w:i/>
          <w:sz w:val="24"/>
          <w:u w:val="single"/>
        </w:rPr>
        <w:t>15.03.05 Конструкторско-технологическое обеспечение машиностроительных производств</w:t>
      </w:r>
    </w:p>
    <w:p w:rsidR="00A026C1" w:rsidRDefault="00A026C1" w:rsidP="00A026C1">
      <w:pPr>
        <w:pStyle w:val="ReportHead0"/>
        <w:suppressAutoHyphens/>
        <w:rPr>
          <w:sz w:val="24"/>
          <w:vertAlign w:val="superscript"/>
        </w:rPr>
      </w:pPr>
      <w:r>
        <w:rPr>
          <w:sz w:val="24"/>
          <w:vertAlign w:val="superscript"/>
        </w:rPr>
        <w:t>(код и наименование направления подготовки)</w:t>
      </w:r>
    </w:p>
    <w:p w:rsidR="00A026C1" w:rsidRDefault="00A026C1" w:rsidP="00A026C1">
      <w:pPr>
        <w:pStyle w:val="ReportHead0"/>
        <w:suppressAutoHyphens/>
        <w:rPr>
          <w:i/>
          <w:sz w:val="24"/>
          <w:u w:val="single"/>
        </w:rPr>
      </w:pPr>
      <w:r>
        <w:rPr>
          <w:i/>
          <w:sz w:val="24"/>
          <w:u w:val="single"/>
        </w:rPr>
        <w:t>Технология машиностроения</w:t>
      </w:r>
    </w:p>
    <w:p w:rsidR="00A026C1" w:rsidRDefault="00A026C1" w:rsidP="00A026C1">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026C1" w:rsidRDefault="00A026C1" w:rsidP="00A026C1">
      <w:pPr>
        <w:pStyle w:val="ReportHead0"/>
        <w:suppressAutoHyphens/>
        <w:rPr>
          <w:sz w:val="24"/>
        </w:rPr>
      </w:pPr>
    </w:p>
    <w:p w:rsidR="00A026C1" w:rsidRDefault="00A026C1" w:rsidP="00A026C1">
      <w:pPr>
        <w:pStyle w:val="ReportHead0"/>
        <w:suppressAutoHyphens/>
        <w:rPr>
          <w:sz w:val="24"/>
        </w:rPr>
      </w:pPr>
      <w:r>
        <w:rPr>
          <w:sz w:val="24"/>
        </w:rPr>
        <w:t>Квалификация</w:t>
      </w:r>
    </w:p>
    <w:p w:rsidR="00A026C1" w:rsidRDefault="00A026C1" w:rsidP="00A026C1">
      <w:pPr>
        <w:pStyle w:val="ReportHead0"/>
        <w:suppressAutoHyphens/>
        <w:rPr>
          <w:i/>
          <w:sz w:val="24"/>
          <w:u w:val="single"/>
        </w:rPr>
      </w:pPr>
      <w:r>
        <w:rPr>
          <w:i/>
          <w:sz w:val="24"/>
          <w:u w:val="single"/>
        </w:rPr>
        <w:t>Бакалавр</w:t>
      </w:r>
    </w:p>
    <w:p w:rsidR="00A026C1" w:rsidRDefault="00A026C1" w:rsidP="00A026C1">
      <w:pPr>
        <w:pStyle w:val="ReportHead0"/>
        <w:suppressAutoHyphens/>
        <w:spacing w:before="120"/>
        <w:rPr>
          <w:sz w:val="24"/>
        </w:rPr>
      </w:pPr>
      <w:r>
        <w:rPr>
          <w:sz w:val="24"/>
        </w:rPr>
        <w:t>Форма обучения</w:t>
      </w:r>
    </w:p>
    <w:p w:rsidR="00A026C1" w:rsidRDefault="00A026C1" w:rsidP="00A026C1">
      <w:pPr>
        <w:pStyle w:val="ReportHead0"/>
        <w:suppressAutoHyphens/>
        <w:rPr>
          <w:i/>
          <w:sz w:val="24"/>
          <w:u w:val="single"/>
        </w:rPr>
      </w:pPr>
      <w:r>
        <w:rPr>
          <w:i/>
          <w:sz w:val="24"/>
          <w:u w:val="single"/>
        </w:rPr>
        <w:t>Очная</w:t>
      </w:r>
    </w:p>
    <w:p w:rsidR="00A026C1" w:rsidRDefault="00A026C1" w:rsidP="00A026C1">
      <w:pPr>
        <w:pStyle w:val="ReportHead0"/>
        <w:suppressAutoHyphens/>
        <w:rPr>
          <w:sz w:val="24"/>
        </w:rPr>
      </w:pPr>
      <w:bookmarkStart w:id="1" w:name="_GoBack"/>
      <w:bookmarkEnd w:id="1"/>
    </w:p>
    <w:p w:rsidR="00C320BC" w:rsidRPr="00C320BC" w:rsidRDefault="00C320BC" w:rsidP="00C320BC">
      <w:pPr>
        <w:suppressAutoHyphens/>
        <w:spacing w:after="0" w:line="240" w:lineRule="auto"/>
        <w:jc w:val="center"/>
        <w:rPr>
          <w:rFonts w:eastAsiaTheme="minorHAnsi"/>
          <w:sz w:val="24"/>
          <w:szCs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p>
    <w:p w:rsidR="00AD7387" w:rsidRDefault="00AD7387" w:rsidP="00DC29C4">
      <w:pPr>
        <w:jc w:val="both"/>
        <w:rPr>
          <w:sz w:val="24"/>
          <w:szCs w:val="24"/>
        </w:rPr>
      </w:pPr>
    </w:p>
    <w:p w:rsidR="004C0F03" w:rsidRDefault="004C0F03" w:rsidP="00DC29C4">
      <w:pPr>
        <w:jc w:val="both"/>
        <w:rPr>
          <w:sz w:val="24"/>
          <w:szCs w:val="24"/>
        </w:rPr>
      </w:pPr>
    </w:p>
    <w:p w:rsidR="00DC29C4" w:rsidRDefault="00DC29C4" w:rsidP="00DC29C4">
      <w:pPr>
        <w:jc w:val="both"/>
        <w:rPr>
          <w:sz w:val="24"/>
          <w:szCs w:val="24"/>
        </w:rPr>
      </w:pPr>
      <w:r>
        <w:rPr>
          <w:sz w:val="24"/>
          <w:szCs w:val="24"/>
        </w:rPr>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4C0F03"/>
    <w:rsid w:val="00A026C1"/>
    <w:rsid w:val="00AD7387"/>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11163">
      <w:bodyDiv w:val="1"/>
      <w:marLeft w:val="0"/>
      <w:marRight w:val="0"/>
      <w:marTop w:val="0"/>
      <w:marBottom w:val="0"/>
      <w:divBdr>
        <w:top w:val="none" w:sz="0" w:space="0" w:color="auto"/>
        <w:left w:val="none" w:sz="0" w:space="0" w:color="auto"/>
        <w:bottom w:val="none" w:sz="0" w:space="0" w:color="auto"/>
        <w:right w:val="none" w:sz="0" w:space="0" w:color="auto"/>
      </w:divBdr>
    </w:div>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2975</Words>
  <Characters>16958</Characters>
  <Application>Microsoft Office Word</Application>
  <DocSecurity>0</DocSecurity>
  <Lines>141</Lines>
  <Paragraphs>39</Paragraphs>
  <ScaleCrop>false</ScaleCrop>
  <Company/>
  <LinksUpToDate>false</LinksUpToDate>
  <CharactersWithSpaces>19894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2024-04-09T06:15:00Z</dcterms:created>
  <dcterms:modified xsi:type="dcterms:W3CDTF">2024-04-11T06:23:00Z</dcterms:modified>
</cp:coreProperties>
</file>