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16D8F06D" w:rsidR="00206964" w:rsidRPr="006F4D47" w:rsidRDefault="00CC1CFF" w:rsidP="00206964">
      <w:pPr>
        <w:pStyle w:val="ReportHead"/>
        <w:suppressAutoHyphens/>
        <w:rPr>
          <w:i/>
          <w:szCs w:val="28"/>
          <w:u w:val="single"/>
        </w:rPr>
      </w:pPr>
      <w:r>
        <w:rPr>
          <w:i/>
          <w:szCs w:val="28"/>
          <w:u w:val="single"/>
        </w:rPr>
        <w:t>40.0</w:t>
      </w:r>
      <w:r w:rsidR="003C249A">
        <w:rPr>
          <w:i/>
          <w:szCs w:val="28"/>
          <w:u w:val="single"/>
        </w:rPr>
        <w:t>3</w:t>
      </w:r>
      <w:r>
        <w:rPr>
          <w:i/>
          <w:szCs w:val="28"/>
          <w:u w:val="single"/>
        </w:rPr>
        <w:t>.0</w:t>
      </w:r>
      <w:r w:rsidR="003C249A">
        <w:rPr>
          <w:i/>
          <w:szCs w:val="28"/>
          <w:u w:val="single"/>
        </w:rPr>
        <w:t>1</w:t>
      </w:r>
      <w:r>
        <w:rPr>
          <w:i/>
          <w:szCs w:val="28"/>
          <w:u w:val="single"/>
        </w:rPr>
        <w:t xml:space="preserve"> </w:t>
      </w:r>
      <w:r w:rsidR="003C249A">
        <w:rPr>
          <w:i/>
          <w:szCs w:val="28"/>
          <w:u w:val="single"/>
        </w:rPr>
        <w:t>Юриспруденция</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578B3F19" w14:textId="08409760" w:rsidR="00206964" w:rsidRPr="00EF2684" w:rsidRDefault="003C249A" w:rsidP="00EF2684">
      <w:pPr>
        <w:pStyle w:val="ReportHead"/>
        <w:suppressAutoHyphens/>
        <w:rPr>
          <w:i/>
          <w:szCs w:val="28"/>
          <w:u w:val="single"/>
        </w:rPr>
      </w:pPr>
      <w:r>
        <w:rPr>
          <w:i/>
          <w:szCs w:val="28"/>
          <w:u w:val="single"/>
        </w:rPr>
        <w:t>Уголовно-правовой</w:t>
      </w:r>
      <w:bookmarkStart w:id="0" w:name="_GoBack"/>
      <w:bookmarkEnd w:id="0"/>
    </w:p>
    <w:p w14:paraId="1400927A" w14:textId="77777777" w:rsidR="00206964" w:rsidRPr="006F4D47" w:rsidRDefault="00206964" w:rsidP="00206964">
      <w:pPr>
        <w:pStyle w:val="ReportHead"/>
        <w:suppressAutoHyphens/>
        <w:rPr>
          <w:szCs w:val="28"/>
          <w:vertAlign w:val="superscript"/>
        </w:rPr>
      </w:pPr>
      <w:r w:rsidRPr="006F4D47">
        <w:rPr>
          <w:szCs w:val="28"/>
          <w:vertAlign w:val="superscript"/>
        </w:rPr>
        <w:t xml:space="preserve"> (наименование направленности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Квалификация</w:t>
      </w:r>
    </w:p>
    <w:p w14:paraId="2F3E5465" w14:textId="77777777" w:rsidR="00206964" w:rsidRPr="006F4D47" w:rsidRDefault="00206964" w:rsidP="00206964">
      <w:pPr>
        <w:pStyle w:val="ReportHead"/>
        <w:suppressAutoHyphens/>
        <w:rPr>
          <w:i/>
          <w:szCs w:val="28"/>
          <w:u w:val="single"/>
        </w:rPr>
      </w:pPr>
      <w:r w:rsidRPr="006F4D47">
        <w:rPr>
          <w:i/>
          <w:szCs w:val="28"/>
          <w:u w:val="single"/>
        </w:rPr>
        <w:t>Юрист</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151A3D3C" w14:textId="2AABD302" w:rsidR="00206964" w:rsidRDefault="00206964"/>
    <w:p w14:paraId="1CCAADA6" w14:textId="5EC22307" w:rsidR="00206964" w:rsidRDefault="006F4D47" w:rsidP="006F4D47">
      <w:pPr>
        <w:jc w:val="center"/>
      </w:pPr>
      <w:r>
        <w:t>2024</w:t>
      </w:r>
    </w:p>
    <w:p w14:paraId="1D953D3D" w14:textId="5820184C" w:rsidR="001E18AC" w:rsidRPr="00DF2EDC" w:rsidRDefault="006F4D47" w:rsidP="001E18AC">
      <w:pPr>
        <w:pStyle w:val="1"/>
        <w:rPr>
          <w:rFonts w:eastAsia="SimSun"/>
        </w:rPr>
      </w:pPr>
      <w:bookmarkStart w:id="1" w:name="_Toc7184120"/>
      <w:bookmarkStart w:id="2"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1"/>
      <w:bookmarkEnd w:id="2"/>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3" w:name="_Toc7184121"/>
      <w:bookmarkStart w:id="4"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3"/>
      <w:r>
        <w:rPr>
          <w:rFonts w:eastAsia="SimSun"/>
          <w:lang w:val="ru-RU"/>
        </w:rPr>
        <w:t>а</w:t>
      </w:r>
      <w:bookmarkEnd w:id="4"/>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5" w:name="_Toc7184124"/>
      <w:bookmarkStart w:id="6"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5"/>
      <w:bookmarkEnd w:id="6"/>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7" w:name="_Toc7184127"/>
      <w:bookmarkStart w:id="8" w:name="_Toc21673955"/>
      <w:r>
        <w:rPr>
          <w:rFonts w:eastAsia="SimSun"/>
          <w:lang w:val="ru-RU"/>
        </w:rPr>
        <w:t xml:space="preserve">Подготовка к </w:t>
      </w:r>
      <w:r w:rsidRPr="00A43F69">
        <w:rPr>
          <w:rFonts w:eastAsia="SimSun"/>
        </w:rPr>
        <w:t>промежуточной аттестации по дисциплине</w:t>
      </w:r>
      <w:bookmarkEnd w:id="7"/>
      <w:bookmarkEnd w:id="8"/>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777AF472" w14:textId="4300C0E2" w:rsidR="00400B99" w:rsidRDefault="00400B99" w:rsidP="00400B99">
      <w:pPr>
        <w:widowControl w:val="0"/>
        <w:tabs>
          <w:tab w:val="left" w:pos="1080"/>
        </w:tabs>
        <w:adjustRightInd w:val="0"/>
        <w:textAlignment w:val="baseline"/>
        <w:rPr>
          <w:bCs/>
          <w:iCs/>
          <w:szCs w:val="24"/>
        </w:rPr>
      </w:pPr>
    </w:p>
    <w:p w14:paraId="0EF48787" w14:textId="56000F52" w:rsidR="00400B99" w:rsidRDefault="00400B99" w:rsidP="00400B99">
      <w:pPr>
        <w:widowControl w:val="0"/>
        <w:tabs>
          <w:tab w:val="left" w:pos="1080"/>
        </w:tabs>
        <w:adjustRightInd w:val="0"/>
        <w:textAlignment w:val="baseline"/>
        <w:rPr>
          <w:bCs/>
          <w:iCs/>
          <w:szCs w:val="24"/>
        </w:rPr>
      </w:pPr>
    </w:p>
    <w:p w14:paraId="5B58AF5A" w14:textId="0A0B5C90" w:rsidR="00400B99" w:rsidRPr="00E45E58" w:rsidRDefault="00E45E58" w:rsidP="00E45E58">
      <w:pPr>
        <w:widowControl w:val="0"/>
        <w:tabs>
          <w:tab w:val="left" w:pos="1080"/>
        </w:tabs>
        <w:adjustRightInd w:val="0"/>
        <w:ind w:firstLine="709"/>
        <w:textAlignment w:val="baseline"/>
        <w:rPr>
          <w:b/>
          <w:bCs/>
          <w:iCs/>
          <w:szCs w:val="24"/>
        </w:rPr>
      </w:pPr>
      <w:r w:rsidRPr="00E45E58">
        <w:rPr>
          <w:b/>
          <w:bCs/>
          <w:iCs/>
          <w:szCs w:val="24"/>
        </w:rPr>
        <w:t>5 Тестирование</w:t>
      </w:r>
    </w:p>
    <w:p w14:paraId="237B2E34" w14:textId="47A857BB" w:rsidR="00400B99" w:rsidRDefault="00400B99" w:rsidP="00400B99">
      <w:pPr>
        <w:widowControl w:val="0"/>
        <w:tabs>
          <w:tab w:val="left" w:pos="1080"/>
        </w:tabs>
        <w:adjustRightInd w:val="0"/>
        <w:textAlignment w:val="baseline"/>
        <w:rPr>
          <w:bCs/>
          <w:iCs/>
          <w:szCs w:val="24"/>
        </w:rPr>
      </w:pP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131DD7F7" w14:textId="7AF2DF9D" w:rsidR="002014FB" w:rsidRDefault="002014FB" w:rsidP="00400B99">
      <w:pPr>
        <w:ind w:firstLine="567"/>
        <w:rPr>
          <w:color w:val="000000"/>
          <w:shd w:val="clear" w:color="auto" w:fill="FFFFFF"/>
        </w:rPr>
      </w:pPr>
    </w:p>
    <w:p w14:paraId="527995C7" w14:textId="1D023FE9" w:rsidR="002014FB" w:rsidRDefault="002014FB" w:rsidP="00400B99">
      <w:pPr>
        <w:ind w:firstLine="567"/>
        <w:rPr>
          <w:color w:val="000000"/>
          <w:shd w:val="clear" w:color="auto" w:fill="FFFFFF"/>
        </w:rPr>
      </w:pPr>
    </w:p>
    <w:p w14:paraId="798F90F4" w14:textId="615E275B" w:rsidR="00400B99" w:rsidRPr="002014FB" w:rsidRDefault="002014FB" w:rsidP="002014FB">
      <w:pPr>
        <w:pStyle w:val="1"/>
        <w:numPr>
          <w:ilvl w:val="0"/>
          <w:numId w:val="0"/>
        </w:numPr>
        <w:ind w:firstLine="709"/>
        <w:rPr>
          <w:shd w:val="clear" w:color="auto" w:fill="FFFFFF"/>
        </w:rPr>
      </w:pPr>
      <w:bookmarkStart w:id="9" w:name="_Toc24184399"/>
      <w:r>
        <w:rPr>
          <w:lang w:val="ru-RU"/>
        </w:rPr>
        <w:t xml:space="preserve">6 </w:t>
      </w:r>
      <w:r w:rsidR="00400B99" w:rsidRPr="00400B99">
        <w:t>Методические указания по подготовке к опросу</w:t>
      </w:r>
      <w:bookmarkEnd w:id="9"/>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w:t>
      </w:r>
      <w:r w:rsidRPr="007E1C12">
        <w:lastRenderedPageBreak/>
        <w:t>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 развитие ключевых и предметных компетентностей;</w:t>
      </w:r>
    </w:p>
    <w:p w14:paraId="146C874B" w14:textId="712C95A8" w:rsidR="00D064DF" w:rsidRDefault="00D064DF" w:rsidP="00D064DF">
      <w:pPr>
        <w:ind w:firstLine="709"/>
      </w:pPr>
      <w:r>
        <w:t>- развитие     интеллекта     и     повышение     уровня     профессиональной подготовленности;</w:t>
      </w:r>
    </w:p>
    <w:p w14:paraId="228EFE92" w14:textId="12B87027" w:rsidR="00D064DF" w:rsidRDefault="00D064DF" w:rsidP="00D064DF">
      <w:pPr>
        <w:ind w:firstLine="709"/>
      </w:pPr>
      <w:r>
        <w:t>-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w:t>
      </w:r>
      <w:r>
        <w:lastRenderedPageBreak/>
        <w:t xml:space="preserve">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3451C1A0" w14:textId="04497564" w:rsidR="002014FB" w:rsidRPr="007E1C12" w:rsidRDefault="002014FB" w:rsidP="00400B99">
      <w:pPr>
        <w:widowControl w:val="0"/>
        <w:ind w:firstLine="709"/>
        <w:contextualSpacing/>
      </w:pP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lastRenderedPageBreak/>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w:t>
      </w:r>
      <w:r w:rsidRPr="00DF0C75">
        <w:lastRenderedPageBreak/>
        <w:t xml:space="preserve">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lastRenderedPageBreak/>
        <w:t>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43227"/>
    <w:rsid w:val="001E18AC"/>
    <w:rsid w:val="002014FB"/>
    <w:rsid w:val="00206964"/>
    <w:rsid w:val="002B0078"/>
    <w:rsid w:val="003B2ADF"/>
    <w:rsid w:val="003C249A"/>
    <w:rsid w:val="003E0FC2"/>
    <w:rsid w:val="00400B99"/>
    <w:rsid w:val="00416BDA"/>
    <w:rsid w:val="00427C7D"/>
    <w:rsid w:val="006112F1"/>
    <w:rsid w:val="006F4D47"/>
    <w:rsid w:val="006F7336"/>
    <w:rsid w:val="00957BDB"/>
    <w:rsid w:val="00AB08FD"/>
    <w:rsid w:val="00CC1CFF"/>
    <w:rsid w:val="00D064DF"/>
    <w:rsid w:val="00D8043D"/>
    <w:rsid w:val="00DE2C1C"/>
    <w:rsid w:val="00E45E58"/>
    <w:rsid w:val="00EF2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15</Pages>
  <Words>6748</Words>
  <Characters>38469</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User</cp:lastModifiedBy>
  <cp:revision>12</cp:revision>
  <dcterms:created xsi:type="dcterms:W3CDTF">2023-07-04T07:33:00Z</dcterms:created>
  <dcterms:modified xsi:type="dcterms:W3CDTF">2024-05-22T04:50:00Z</dcterms:modified>
</cp:coreProperties>
</file>