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7FA" w:rsidRPr="009347FA" w:rsidRDefault="009347FA" w:rsidP="009347FA">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9347FA">
        <w:rPr>
          <w:rFonts w:ascii="TimesNewRomanPSMT" w:eastAsia="Times New Roman" w:hAnsi="TimesNewRomanPSMT" w:cs="TimesNewRomanPSMT"/>
          <w:sz w:val="28"/>
          <w:szCs w:val="28"/>
          <w:lang w:eastAsia="ru-RU"/>
        </w:rPr>
        <w:t>Минобрнауки Российской Федерации</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9347FA">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9347FA">
        <w:rPr>
          <w:rFonts w:ascii="TimesNewRomanPSMT" w:eastAsia="Times New Roman" w:hAnsi="TimesNewRomanPSMT" w:cs="TimesNewRomanPSMT"/>
          <w:sz w:val="28"/>
          <w:szCs w:val="28"/>
          <w:lang w:eastAsia="ru-RU"/>
        </w:rPr>
        <w:t>высшего образования</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9347FA">
        <w:rPr>
          <w:rFonts w:ascii="TimesNewRomanPSMT" w:eastAsia="Times New Roman" w:hAnsi="TimesNewRomanPSMT" w:cs="TimesNewRomanPSMT"/>
          <w:b/>
          <w:sz w:val="28"/>
          <w:szCs w:val="28"/>
          <w:lang w:eastAsia="ru-RU"/>
        </w:rPr>
        <w:t>«Оренбургский государственный университет»</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9347FA">
        <w:rPr>
          <w:rFonts w:eastAsia="Times New Roman"/>
          <w:sz w:val="28"/>
          <w:szCs w:val="28"/>
          <w:lang w:eastAsia="ru-RU"/>
        </w:rPr>
        <w:t>Кафедра</w:t>
      </w:r>
      <w:r w:rsidRPr="009347FA">
        <w:rPr>
          <w:rFonts w:eastAsia="Times New Roman"/>
          <w:sz w:val="24"/>
          <w:szCs w:val="24"/>
          <w:lang w:eastAsia="ru-RU"/>
        </w:rPr>
        <w:t xml:space="preserve"> </w:t>
      </w:r>
      <w:r w:rsidRPr="009347FA">
        <w:rPr>
          <w:rFonts w:ascii="TimesNewRomanPSMT" w:eastAsia="Times New Roman" w:hAnsi="TimesNewRomanPSMT" w:cs="TimesNewRomanPSMT"/>
          <w:sz w:val="28"/>
          <w:szCs w:val="28"/>
          <w:lang w:eastAsia="ru-RU"/>
        </w:rPr>
        <w:t>гражданского права и процесса</w:t>
      </w: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9347FA" w:rsidRPr="009347FA" w:rsidRDefault="009347FA" w:rsidP="009347FA">
      <w:pPr>
        <w:suppressAutoHyphens/>
        <w:spacing w:before="120" w:after="0" w:line="240" w:lineRule="auto"/>
        <w:jc w:val="center"/>
        <w:rPr>
          <w:rFonts w:ascii="TimesNewRomanPSMT" w:eastAsia="Calibri" w:hAnsi="TimesNewRomanPSMT" w:cs="TimesNewRomanPSMT"/>
          <w:sz w:val="28"/>
          <w:szCs w:val="28"/>
        </w:rPr>
      </w:pPr>
      <w:r w:rsidRPr="009347FA">
        <w:rPr>
          <w:rFonts w:ascii="TimesNewRomanPSMT" w:eastAsia="Calibri" w:hAnsi="TimesNewRomanPSMT" w:cs="TimesNewRomanPSMT"/>
          <w:sz w:val="28"/>
          <w:szCs w:val="28"/>
        </w:rPr>
        <w:t xml:space="preserve">Методические указания </w:t>
      </w:r>
      <w:r w:rsidR="00D27F80">
        <w:rPr>
          <w:rFonts w:ascii="TimesNewRomanPSMT" w:eastAsia="Calibri" w:hAnsi="TimesNewRomanPSMT" w:cs="TimesNewRomanPSMT"/>
          <w:sz w:val="28"/>
          <w:szCs w:val="28"/>
        </w:rPr>
        <w:t>по проведению государственной итоговой аттестации</w:t>
      </w:r>
    </w:p>
    <w:p w:rsidR="009347FA" w:rsidRPr="009347FA" w:rsidRDefault="009347FA" w:rsidP="009347FA">
      <w:pPr>
        <w:suppressAutoHyphens/>
        <w:spacing w:before="120" w:after="0" w:line="240" w:lineRule="auto"/>
        <w:jc w:val="center"/>
        <w:rPr>
          <w:rFonts w:ascii="TimesNewRomanPSMT" w:eastAsia="Calibri" w:hAnsi="TimesNewRomanPSMT" w:cs="TimesNewRomanPSMT"/>
          <w:sz w:val="28"/>
          <w:szCs w:val="28"/>
        </w:rPr>
      </w:pPr>
    </w:p>
    <w:p w:rsidR="009347FA" w:rsidRPr="009347FA" w:rsidRDefault="009347FA" w:rsidP="009347FA">
      <w:pPr>
        <w:suppressAutoHyphens/>
        <w:spacing w:after="0" w:line="360" w:lineRule="auto"/>
        <w:jc w:val="center"/>
        <w:rPr>
          <w:rFonts w:eastAsia="Calibri"/>
          <w:sz w:val="24"/>
        </w:rPr>
      </w:pPr>
      <w:r w:rsidRPr="009347FA">
        <w:rPr>
          <w:rFonts w:eastAsia="Calibri"/>
          <w:sz w:val="24"/>
        </w:rPr>
        <w:t>Уровень высшего образования</w:t>
      </w:r>
    </w:p>
    <w:p w:rsidR="009347FA" w:rsidRPr="009347FA" w:rsidRDefault="009347FA" w:rsidP="009347FA">
      <w:pPr>
        <w:suppressAutoHyphens/>
        <w:spacing w:after="0" w:line="360" w:lineRule="auto"/>
        <w:jc w:val="center"/>
        <w:rPr>
          <w:rFonts w:eastAsia="Calibri"/>
          <w:sz w:val="24"/>
        </w:rPr>
      </w:pPr>
      <w:r w:rsidRPr="009347FA">
        <w:rPr>
          <w:rFonts w:eastAsia="Calibri"/>
          <w:sz w:val="24"/>
        </w:rPr>
        <w:t>БАКАЛАВРИАТ</w:t>
      </w:r>
    </w:p>
    <w:p w:rsidR="009347FA" w:rsidRPr="009347FA" w:rsidRDefault="009347FA" w:rsidP="009347FA">
      <w:pPr>
        <w:suppressAutoHyphens/>
        <w:spacing w:after="0" w:line="240" w:lineRule="auto"/>
        <w:jc w:val="center"/>
        <w:rPr>
          <w:rFonts w:eastAsia="Calibri"/>
          <w:sz w:val="24"/>
        </w:rPr>
      </w:pPr>
      <w:r w:rsidRPr="009347FA">
        <w:rPr>
          <w:rFonts w:eastAsia="Calibri"/>
          <w:sz w:val="24"/>
        </w:rPr>
        <w:t>Направление подготовки</w:t>
      </w: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i/>
          <w:sz w:val="24"/>
          <w:u w:val="single"/>
        </w:rPr>
      </w:pPr>
      <w:r w:rsidRPr="009347FA">
        <w:rPr>
          <w:rFonts w:eastAsia="Calibri"/>
          <w:i/>
          <w:sz w:val="24"/>
          <w:u w:val="single"/>
        </w:rPr>
        <w:t>40.03.01 Юриспруденция</w:t>
      </w:r>
    </w:p>
    <w:p w:rsidR="009347FA" w:rsidRPr="009347FA" w:rsidRDefault="009347FA" w:rsidP="009347FA">
      <w:pPr>
        <w:suppressAutoHyphens/>
        <w:spacing w:after="0" w:line="240" w:lineRule="auto"/>
        <w:jc w:val="center"/>
        <w:rPr>
          <w:rFonts w:eastAsia="Calibri"/>
          <w:i/>
          <w:sz w:val="24"/>
          <w:u w:val="single"/>
        </w:rPr>
      </w:pPr>
    </w:p>
    <w:p w:rsidR="009347FA" w:rsidRPr="009347FA" w:rsidRDefault="009347FA" w:rsidP="009347FA">
      <w:pPr>
        <w:suppressAutoHyphens/>
        <w:spacing w:after="0" w:line="240" w:lineRule="auto"/>
        <w:jc w:val="center"/>
        <w:rPr>
          <w:rFonts w:eastAsia="Calibri"/>
          <w:sz w:val="24"/>
          <w:vertAlign w:val="superscript"/>
        </w:rPr>
      </w:pPr>
      <w:r w:rsidRPr="009347FA">
        <w:rPr>
          <w:rFonts w:eastAsia="Calibri"/>
          <w:sz w:val="24"/>
          <w:vertAlign w:val="superscript"/>
        </w:rPr>
        <w:t>(код и наименование направления подготовки)</w:t>
      </w:r>
    </w:p>
    <w:p w:rsidR="009347FA" w:rsidRPr="009347FA" w:rsidRDefault="009347FA" w:rsidP="009347FA">
      <w:pPr>
        <w:suppressAutoHyphens/>
        <w:spacing w:after="0" w:line="240" w:lineRule="auto"/>
        <w:jc w:val="center"/>
        <w:rPr>
          <w:rFonts w:eastAsia="Calibri"/>
          <w:i/>
          <w:sz w:val="24"/>
          <w:u w:val="single"/>
        </w:rPr>
      </w:pPr>
      <w:r w:rsidRPr="009347FA">
        <w:rPr>
          <w:rFonts w:eastAsia="Calibri"/>
          <w:i/>
          <w:sz w:val="24"/>
          <w:u w:val="single"/>
        </w:rPr>
        <w:t>Гражданско-правовой</w:t>
      </w: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r w:rsidRPr="009347FA">
        <w:rPr>
          <w:rFonts w:eastAsia="Calibri"/>
          <w:sz w:val="24"/>
        </w:rPr>
        <w:t>Квалификация</w:t>
      </w:r>
    </w:p>
    <w:p w:rsidR="009347FA" w:rsidRPr="009347FA" w:rsidRDefault="009347FA" w:rsidP="009347FA">
      <w:pPr>
        <w:suppressAutoHyphens/>
        <w:spacing w:after="0" w:line="240" w:lineRule="auto"/>
        <w:jc w:val="center"/>
        <w:rPr>
          <w:rFonts w:eastAsia="Calibri"/>
          <w:i/>
          <w:sz w:val="24"/>
          <w:u w:val="single"/>
        </w:rPr>
      </w:pPr>
      <w:r w:rsidRPr="009347FA">
        <w:rPr>
          <w:rFonts w:eastAsia="Calibri"/>
          <w:i/>
          <w:sz w:val="24"/>
          <w:u w:val="single"/>
        </w:rPr>
        <w:t>Бакалавр</w:t>
      </w:r>
    </w:p>
    <w:p w:rsidR="009347FA" w:rsidRPr="009347FA" w:rsidRDefault="009347FA" w:rsidP="009347FA">
      <w:pPr>
        <w:suppressAutoHyphens/>
        <w:spacing w:before="120" w:after="0" w:line="240" w:lineRule="auto"/>
        <w:jc w:val="center"/>
        <w:rPr>
          <w:rFonts w:eastAsia="Calibri"/>
          <w:sz w:val="24"/>
        </w:rPr>
      </w:pPr>
      <w:r w:rsidRPr="009347FA">
        <w:rPr>
          <w:rFonts w:eastAsia="Calibri"/>
          <w:sz w:val="24"/>
        </w:rPr>
        <w:t>Форма обучения</w:t>
      </w:r>
    </w:p>
    <w:p w:rsidR="009347FA" w:rsidRPr="009347FA" w:rsidRDefault="00657E30" w:rsidP="009347FA">
      <w:pPr>
        <w:suppressAutoHyphens/>
        <w:spacing w:after="0" w:line="240" w:lineRule="auto"/>
        <w:jc w:val="center"/>
        <w:rPr>
          <w:rFonts w:eastAsia="Calibri"/>
          <w:i/>
          <w:sz w:val="24"/>
          <w:u w:val="single"/>
        </w:rPr>
      </w:pPr>
      <w:r>
        <w:rPr>
          <w:rFonts w:eastAsia="Calibri"/>
          <w:i/>
          <w:sz w:val="24"/>
          <w:u w:val="single"/>
        </w:rPr>
        <w:t>О</w:t>
      </w:r>
      <w:r w:rsidR="00E7354A">
        <w:rPr>
          <w:rFonts w:eastAsia="Calibri"/>
          <w:i/>
          <w:sz w:val="24"/>
          <w:u w:val="single"/>
        </w:rPr>
        <w:t>чна</w:t>
      </w:r>
      <w:r w:rsidR="009347FA" w:rsidRPr="009347FA">
        <w:rPr>
          <w:rFonts w:eastAsia="Calibri"/>
          <w:i/>
          <w:sz w:val="24"/>
          <w:u w:val="single"/>
        </w:rPr>
        <w:t>я</w:t>
      </w:r>
    </w:p>
    <w:p w:rsidR="009347FA" w:rsidRPr="009347FA" w:rsidRDefault="009347FA" w:rsidP="009347FA">
      <w:pPr>
        <w:suppressAutoHyphens/>
        <w:spacing w:after="0" w:line="240" w:lineRule="auto"/>
        <w:jc w:val="center"/>
        <w:rPr>
          <w:rFonts w:eastAsia="Calibri"/>
          <w:sz w:val="24"/>
        </w:rPr>
      </w:pPr>
      <w:bookmarkStart w:id="0" w:name="BookmarkWhereDelChr13"/>
      <w:bookmarkEnd w:id="0"/>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Default="009347FA" w:rsidP="009347FA">
      <w:pPr>
        <w:suppressAutoHyphens/>
        <w:spacing w:after="0" w:line="240" w:lineRule="auto"/>
        <w:ind w:firstLine="709"/>
        <w:contextualSpacing/>
        <w:jc w:val="both"/>
        <w:rPr>
          <w:rFonts w:eastAsia="Calibri"/>
          <w:sz w:val="24"/>
        </w:rPr>
      </w:pPr>
      <w:r>
        <w:rPr>
          <w:rFonts w:eastAsia="Calibri"/>
          <w:sz w:val="24"/>
        </w:rPr>
        <w:t xml:space="preserve">                                                     </w:t>
      </w:r>
      <w:r w:rsidR="00E07A26">
        <w:rPr>
          <w:rFonts w:eastAsia="Calibri"/>
          <w:sz w:val="24"/>
        </w:rPr>
        <w:t>Год набора 20</w:t>
      </w:r>
      <w:r w:rsidR="000E6AE8">
        <w:rPr>
          <w:rFonts w:eastAsia="Calibri"/>
          <w:sz w:val="24"/>
        </w:rPr>
        <w:t>2</w:t>
      </w:r>
      <w:r w:rsidR="00AC239D">
        <w:rPr>
          <w:rFonts w:eastAsia="Calibri"/>
          <w:sz w:val="24"/>
        </w:rPr>
        <w:t>5</w:t>
      </w:r>
      <w:bookmarkStart w:id="1" w:name="_GoBack"/>
      <w:bookmarkEnd w:id="1"/>
    </w:p>
    <w:p w:rsidR="00D27F80" w:rsidRDefault="00D27F80" w:rsidP="009347FA">
      <w:pPr>
        <w:suppressAutoHyphens/>
        <w:spacing w:after="0" w:line="240" w:lineRule="auto"/>
        <w:ind w:firstLine="709"/>
        <w:contextualSpacing/>
        <w:jc w:val="both"/>
        <w:rPr>
          <w:rFonts w:eastAsia="Calibri"/>
          <w:sz w:val="24"/>
        </w:rPr>
      </w:pPr>
    </w:p>
    <w:p w:rsidR="00D27F80" w:rsidRDefault="00D27F80" w:rsidP="009347FA">
      <w:pPr>
        <w:suppressAutoHyphens/>
        <w:spacing w:after="0" w:line="240" w:lineRule="auto"/>
        <w:ind w:firstLine="709"/>
        <w:contextualSpacing/>
        <w:jc w:val="both"/>
        <w:rPr>
          <w:sz w:val="24"/>
          <w:szCs w:val="24"/>
        </w:rPr>
      </w:pPr>
    </w:p>
    <w:p w:rsidR="009347FA" w:rsidRDefault="009347FA" w:rsidP="006E785C">
      <w:pPr>
        <w:suppressAutoHyphens/>
        <w:spacing w:after="0" w:line="240" w:lineRule="auto"/>
        <w:ind w:firstLine="709"/>
        <w:contextualSpacing/>
        <w:jc w:val="both"/>
        <w:rPr>
          <w:sz w:val="24"/>
          <w:szCs w:val="24"/>
        </w:rPr>
      </w:pPr>
    </w:p>
    <w:p w:rsidR="00FD065C" w:rsidRDefault="00FD065C" w:rsidP="006E785C">
      <w:pPr>
        <w:suppressAutoHyphens/>
        <w:spacing w:after="0" w:line="240" w:lineRule="auto"/>
        <w:ind w:firstLine="709"/>
        <w:contextualSpacing/>
        <w:jc w:val="both"/>
        <w:rPr>
          <w:sz w:val="24"/>
          <w:szCs w:val="24"/>
        </w:rPr>
      </w:pPr>
    </w:p>
    <w:p w:rsidR="00BF7413" w:rsidRDefault="00BF7413" w:rsidP="006E785C">
      <w:pPr>
        <w:suppressAutoHyphens/>
        <w:spacing w:after="0" w:line="240" w:lineRule="auto"/>
        <w:ind w:firstLine="709"/>
        <w:contextualSpacing/>
        <w:jc w:val="both"/>
        <w:rPr>
          <w:sz w:val="24"/>
          <w:szCs w:val="24"/>
        </w:rPr>
      </w:pPr>
      <w:r>
        <w:rPr>
          <w:sz w:val="24"/>
          <w:szCs w:val="24"/>
        </w:rPr>
        <w:lastRenderedPageBreak/>
        <w:t>ПОРЯДОК ПРОВЕДЕНИЯ ГОСУДАРСТВЕННОЙ ИТОГОВОЙ АТТЕСТАЦИИ</w:t>
      </w:r>
    </w:p>
    <w:p w:rsidR="00BF7413" w:rsidRDefault="00BF7413" w:rsidP="006E785C">
      <w:pPr>
        <w:suppressAutoHyphens/>
        <w:spacing w:after="0" w:line="240" w:lineRule="auto"/>
        <w:ind w:firstLine="709"/>
        <w:contextualSpacing/>
        <w:jc w:val="both"/>
        <w:rPr>
          <w:sz w:val="24"/>
          <w:szCs w:val="24"/>
        </w:rPr>
      </w:pPr>
    </w:p>
    <w:p w:rsidR="006E785C" w:rsidRPr="006F3E78" w:rsidRDefault="00BF7413" w:rsidP="00FD065C">
      <w:pPr>
        <w:suppressAutoHyphens/>
        <w:spacing w:after="0" w:line="240" w:lineRule="auto"/>
        <w:ind w:firstLine="709"/>
        <w:contextualSpacing/>
        <w:jc w:val="both"/>
        <w:rPr>
          <w:rFonts w:eastAsia="Times New Roman"/>
          <w:b/>
          <w:sz w:val="24"/>
          <w:szCs w:val="24"/>
          <w:lang w:eastAsia="ru-RU"/>
        </w:rPr>
      </w:pPr>
      <w:r>
        <w:rPr>
          <w:sz w:val="24"/>
          <w:szCs w:val="24"/>
        </w:rPr>
        <w:t>1.1</w:t>
      </w:r>
      <w:r w:rsidR="006E785C">
        <w:rPr>
          <w:sz w:val="24"/>
          <w:szCs w:val="24"/>
        </w:rPr>
        <w:t xml:space="preserve"> </w:t>
      </w:r>
      <w:r w:rsidR="006E785C" w:rsidRPr="00BF7413">
        <w:rPr>
          <w:sz w:val="24"/>
          <w:szCs w:val="24"/>
        </w:rPr>
        <w:t>Целью государственной итоговой</w:t>
      </w:r>
      <w:r w:rsidR="006E785C" w:rsidRPr="006F3E78">
        <w:rPr>
          <w:sz w:val="24"/>
          <w:szCs w:val="24"/>
        </w:rPr>
        <w:t xml:space="preserve">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(ФГОС ВО) направления подготовки 40.03.01 Юриспруденция (уровень бакалавриата) и оценки уровня подготовленности выпускника к самостоятельной профессиональной деятельности</w:t>
      </w:r>
      <w:r w:rsidR="006E785C">
        <w:rPr>
          <w:sz w:val="24"/>
          <w:szCs w:val="24"/>
        </w:rPr>
        <w:t>.</w:t>
      </w:r>
    </w:p>
    <w:p w:rsidR="006E785C" w:rsidRPr="006F3E78" w:rsidRDefault="006E785C" w:rsidP="00FD065C">
      <w:pPr>
        <w:pStyle w:val="Default"/>
        <w:ind w:firstLine="709"/>
        <w:jc w:val="both"/>
      </w:pPr>
      <w:r w:rsidRPr="006F3E78">
        <w:t xml:space="preserve">1.2 К государственной итоговой аттестации допускаются обучающиеся, не имеющие академической задолженности и успешно завершившие в полном объеме освоение образовательной программы по направлению подготовки 40.03.01 Юриспруденция (уровень бакалавриата) </w:t>
      </w:r>
      <w:r>
        <w:t>гражданско</w:t>
      </w:r>
      <w:r w:rsidRPr="006F3E78">
        <w:t xml:space="preserve">-правового профиля в соответствии с учебным планом или индивидуальным учебным планом и требованиями ФГОС ВО. </w:t>
      </w:r>
    </w:p>
    <w:p w:rsidR="006E785C" w:rsidRPr="006F3E78" w:rsidRDefault="006E785C" w:rsidP="00FD065C">
      <w:pPr>
        <w:pStyle w:val="Default"/>
        <w:ind w:firstLine="709"/>
        <w:jc w:val="both"/>
      </w:pPr>
      <w:r w:rsidRPr="006F3E78">
        <w:t xml:space="preserve">1.3 При условии успешного прохождения государственной итоговой аттестации выпускнику университета присваивается квалификация «бакалавр» и выдается документ государственного образца о высшем образовании (диплом бакалавра). </w:t>
      </w:r>
    </w:p>
    <w:p w:rsidR="006E785C" w:rsidRPr="006F3E78" w:rsidRDefault="006E785C" w:rsidP="00FD065C">
      <w:pPr>
        <w:pStyle w:val="Default"/>
        <w:ind w:firstLine="709"/>
        <w:jc w:val="both"/>
      </w:pPr>
      <w:r w:rsidRPr="006F3E78">
        <w:t xml:space="preserve">1.4 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10 месяцев после завершения государственной итоговой аттестации. Обучающийся должен представить в деканат юридического факультета документ, подтверждающий уважительность причины его отсутствия. </w:t>
      </w:r>
    </w:p>
    <w:p w:rsidR="006E785C" w:rsidRPr="006F3E78" w:rsidRDefault="006E785C" w:rsidP="00FD065C">
      <w:pPr>
        <w:pStyle w:val="Default"/>
        <w:ind w:firstLine="709"/>
        <w:jc w:val="both"/>
      </w:pPr>
      <w:r w:rsidRPr="006F3E78">
        <w:t xml:space="preserve">1.5 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 </w:t>
      </w:r>
    </w:p>
    <w:p w:rsidR="006E785C" w:rsidRPr="006F3E78" w:rsidRDefault="006E785C" w:rsidP="00FD065C">
      <w:pPr>
        <w:pStyle w:val="Default"/>
        <w:ind w:firstLine="709"/>
        <w:jc w:val="both"/>
      </w:pPr>
      <w:r w:rsidRPr="006F3E78">
        <w:t xml:space="preserve">1.6 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обучающимся. Для повторного прохождения итоговой аттестации указанное лицо по его заявлению восстанавливается в университете на период времени, установленный университетом, но не менее периода времени, предусмотренного календарным учебным графиком для государственной итоговой аттестации по соответствующей образовательной программе. </w:t>
      </w:r>
    </w:p>
    <w:p w:rsidR="006E785C" w:rsidRPr="006F3E78" w:rsidRDefault="006E785C" w:rsidP="00FD065C">
      <w:pPr>
        <w:pStyle w:val="Default"/>
        <w:ind w:firstLine="709"/>
        <w:jc w:val="both"/>
      </w:pPr>
      <w:r w:rsidRPr="006F3E78">
        <w:t xml:space="preserve">1.7 По результатам государственных аттестационных испытаний обучающийся имеет право на апелляцию. Обучающийся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его результатами. Апелляция подается лично обучающимся в апелляционную комиссию не позднее следующего рабочего дня после объявления результатов государственного аттестационного испытания. Апелляция рассматривается не позднее 2 рабочих дней со дня подачи апелляции на заседании апелляционной комиссии, на которое приглашаются председатель государственной экзаменационной комиссии и обучающийся, подавший апелляцию. </w:t>
      </w:r>
      <w:r w:rsidRPr="00BF7413">
        <w:t>Решение апелляционной комиссии доводится до сведения обучающегося, подавшего апелляцию, в течение 3 рабочих дней со дня заседания апелляционной комиссии. Факт ознакомления обучающегося, подавшего апелляцию, с решением апелляционной комиссии удостоверяется подписью обучающегося. Решение апелляционной комиссии является окончательным и пересмотру не подлежит. Апелляция на повторное проведение государственного аттестационного испытания не принимается.</w:t>
      </w:r>
    </w:p>
    <w:p w:rsidR="00BF7413" w:rsidRDefault="00BF7413" w:rsidP="00BF7413">
      <w:pPr>
        <w:widowControl w:val="0"/>
        <w:spacing w:after="0" w:line="240" w:lineRule="auto"/>
        <w:ind w:firstLine="709"/>
        <w:jc w:val="both"/>
        <w:rPr>
          <w:rFonts w:eastAsia="Times New Roman"/>
          <w:b/>
          <w:sz w:val="32"/>
          <w:szCs w:val="32"/>
          <w:lang w:eastAsia="ru-RU"/>
        </w:rPr>
      </w:pPr>
      <w:r>
        <w:rPr>
          <w:rFonts w:eastAsia="Times New Roman"/>
          <w:sz w:val="24"/>
          <w:szCs w:val="24"/>
          <w:lang w:eastAsia="ru-RU"/>
        </w:rPr>
        <w:lastRenderedPageBreak/>
        <w:t xml:space="preserve"> </w:t>
      </w:r>
      <w:r w:rsidRPr="00BF7413">
        <w:rPr>
          <w:rFonts w:eastAsia="Times New Roman"/>
          <w:b/>
          <w:sz w:val="32"/>
          <w:szCs w:val="32"/>
          <w:lang w:eastAsia="ru-RU"/>
        </w:rPr>
        <w:t xml:space="preserve">Методические рекомендации по выполнению заданий </w:t>
      </w:r>
    </w:p>
    <w:p w:rsidR="00BF7413" w:rsidRPr="00BF7413" w:rsidRDefault="00BF7413" w:rsidP="00BF7413">
      <w:pPr>
        <w:widowControl w:val="0"/>
        <w:spacing w:after="0" w:line="240" w:lineRule="auto"/>
        <w:ind w:firstLine="709"/>
        <w:jc w:val="both"/>
        <w:rPr>
          <w:rFonts w:eastAsia="Times New Roman"/>
          <w:b/>
          <w:sz w:val="32"/>
          <w:szCs w:val="32"/>
          <w:lang w:eastAsia="ru-RU"/>
        </w:rPr>
      </w:pPr>
    </w:p>
    <w:p w:rsidR="000F0A72" w:rsidRPr="00BF7413" w:rsidRDefault="00BF7413" w:rsidP="00BF7413">
      <w:pPr>
        <w:widowControl w:val="0"/>
        <w:spacing w:after="0" w:line="240" w:lineRule="auto"/>
        <w:ind w:firstLine="709"/>
        <w:jc w:val="both"/>
        <w:rPr>
          <w:rFonts w:eastAsia="Times New Roman"/>
          <w:b/>
          <w:sz w:val="24"/>
          <w:szCs w:val="24"/>
          <w:lang w:eastAsia="ru-RU"/>
        </w:rPr>
      </w:pPr>
      <w:r w:rsidRPr="00BF7413">
        <w:rPr>
          <w:rFonts w:eastAsia="Times New Roman"/>
          <w:b/>
          <w:sz w:val="24"/>
          <w:szCs w:val="24"/>
          <w:lang w:eastAsia="ru-RU"/>
        </w:rPr>
        <w:t>А</w:t>
      </w:r>
      <w:r w:rsidR="000F0A72" w:rsidRPr="00BF7413">
        <w:rPr>
          <w:rFonts w:eastAsia="Times New Roman"/>
          <w:b/>
          <w:sz w:val="24"/>
          <w:szCs w:val="24"/>
          <w:lang w:eastAsia="ru-RU"/>
        </w:rPr>
        <w:t>лгоритм решения правовой ситуации</w:t>
      </w:r>
    </w:p>
    <w:p w:rsidR="000F0A72" w:rsidRPr="006F3E78" w:rsidRDefault="000F0A72" w:rsidP="00BF7413">
      <w:pPr>
        <w:widowControl w:val="0"/>
        <w:spacing w:after="0" w:line="240" w:lineRule="auto"/>
        <w:ind w:firstLine="709"/>
        <w:jc w:val="both"/>
        <w:rPr>
          <w:rFonts w:eastAsia="Times New Roman"/>
          <w:b/>
          <w:sz w:val="24"/>
          <w:szCs w:val="24"/>
          <w:lang w:eastAsia="ru-RU"/>
        </w:rPr>
      </w:pPr>
    </w:p>
    <w:p w:rsidR="000F0A72" w:rsidRPr="006F3E78" w:rsidRDefault="000F0A72" w:rsidP="00BF7413">
      <w:pPr>
        <w:widowControl w:val="0"/>
        <w:numPr>
          <w:ilvl w:val="0"/>
          <w:numId w:val="1"/>
        </w:numPr>
        <w:spacing w:after="0" w:line="240" w:lineRule="auto"/>
        <w:ind w:left="0" w:firstLine="709"/>
        <w:contextualSpacing/>
        <w:jc w:val="both"/>
        <w:rPr>
          <w:rFonts w:eastAsia="Times New Roman"/>
          <w:b/>
          <w:sz w:val="24"/>
          <w:szCs w:val="24"/>
          <w:lang w:eastAsia="ru-RU"/>
        </w:rPr>
      </w:pPr>
      <w:r w:rsidRPr="006F3E78">
        <w:rPr>
          <w:rFonts w:eastAsia="Times New Roman"/>
          <w:b/>
          <w:sz w:val="24"/>
          <w:szCs w:val="24"/>
          <w:lang w:eastAsia="ru-RU"/>
        </w:rPr>
        <w:t xml:space="preserve">Определение субъектов права, </w:t>
      </w:r>
      <w:r w:rsidR="00FD065C">
        <w:rPr>
          <w:rFonts w:eastAsia="Times New Roman"/>
          <w:sz w:val="24"/>
          <w:szCs w:val="24"/>
          <w:lang w:eastAsia="ru-RU"/>
        </w:rPr>
        <w:t>о которых говорит</w:t>
      </w:r>
      <w:r w:rsidRPr="006F3E78">
        <w:rPr>
          <w:rFonts w:eastAsia="Times New Roman"/>
          <w:sz w:val="24"/>
          <w:szCs w:val="24"/>
          <w:lang w:eastAsia="ru-RU"/>
        </w:rPr>
        <w:t>ся в правовой ситуации или задаче.</w:t>
      </w:r>
    </w:p>
    <w:p w:rsidR="000F0A72" w:rsidRPr="006F3E78" w:rsidRDefault="000F0A72" w:rsidP="00BF7413">
      <w:pPr>
        <w:widowControl w:val="0"/>
        <w:numPr>
          <w:ilvl w:val="0"/>
          <w:numId w:val="1"/>
        </w:numPr>
        <w:spacing w:after="0" w:line="240" w:lineRule="auto"/>
        <w:ind w:left="0" w:firstLine="709"/>
        <w:contextualSpacing/>
        <w:jc w:val="both"/>
        <w:rPr>
          <w:rFonts w:eastAsia="Times New Roman"/>
          <w:i/>
          <w:sz w:val="24"/>
          <w:szCs w:val="24"/>
          <w:lang w:eastAsia="ru-RU"/>
        </w:rPr>
      </w:pPr>
      <w:r w:rsidRPr="006F3E78">
        <w:rPr>
          <w:rFonts w:eastAsia="Times New Roman"/>
          <w:b/>
          <w:sz w:val="24"/>
          <w:szCs w:val="24"/>
          <w:lang w:eastAsia="ru-RU"/>
        </w:rPr>
        <w:t>Определение вида правоотношений</w:t>
      </w:r>
      <w:r w:rsidRPr="006F3E78">
        <w:rPr>
          <w:rFonts w:eastAsia="Times New Roman"/>
          <w:sz w:val="24"/>
          <w:szCs w:val="24"/>
          <w:lang w:eastAsia="ru-RU"/>
        </w:rPr>
        <w:t xml:space="preserve">, с которыми мы имеем дело и в соответствии с данными правоотношениями </w:t>
      </w:r>
      <w:r w:rsidRPr="006F3E78">
        <w:rPr>
          <w:rFonts w:eastAsia="Times New Roman"/>
          <w:b/>
          <w:sz w:val="24"/>
          <w:szCs w:val="24"/>
          <w:lang w:eastAsia="ru-RU"/>
        </w:rPr>
        <w:t>определение круга нормативных актов, применяемых в данной ситуации</w:t>
      </w:r>
      <w:r w:rsidRPr="006F3E78">
        <w:rPr>
          <w:rFonts w:eastAsia="Times New Roman"/>
          <w:sz w:val="24"/>
          <w:szCs w:val="24"/>
          <w:lang w:eastAsia="ru-RU"/>
        </w:rPr>
        <w:t xml:space="preserve">. Выявление наличия или отсутствия общих и конкретных норм права для решения задачи. Конкретизация тех норм, которые охватывают описанную в задаче ситуацию. Например, в условии задачи говориться: </w:t>
      </w:r>
      <w:r w:rsidRPr="006F3E78">
        <w:rPr>
          <w:rFonts w:eastAsia="Times New Roman"/>
          <w:i/>
          <w:sz w:val="24"/>
          <w:szCs w:val="24"/>
          <w:lang w:eastAsia="ru-RU"/>
        </w:rPr>
        <w:t xml:space="preserve">торговый дом «Имидж» направил письменное уведомление своему постоянному поставщику – ООО «Лето» об одностороннем расторжении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w:t>
      </w:r>
      <w:r w:rsidRPr="006F3E78">
        <w:rPr>
          <w:rFonts w:eastAsia="Times New Roman"/>
          <w:bCs/>
          <w:i/>
          <w:sz w:val="24"/>
          <w:szCs w:val="24"/>
          <w:lang w:eastAsia="ru-RU"/>
        </w:rPr>
        <w:t xml:space="preserve">рассматриваемого договора. Арбитражный суд вынес определение о прекращении производства по делу, сославшись в нем </w:t>
      </w:r>
      <w:r w:rsidRPr="006F3E78">
        <w:rPr>
          <w:rFonts w:eastAsia="Times New Roman"/>
          <w:i/>
          <w:sz w:val="24"/>
          <w:szCs w:val="24"/>
          <w:lang w:eastAsia="ru-RU"/>
        </w:rPr>
        <w:t>на пункт 8 договора. Правомерно ли определение арбитражного суда?</w:t>
      </w:r>
    </w:p>
    <w:p w:rsidR="000F0A72" w:rsidRPr="006F3E78" w:rsidRDefault="000F0A72" w:rsidP="00BF7413">
      <w:pPr>
        <w:widowControl w:val="0"/>
        <w:spacing w:after="0" w:line="240" w:lineRule="auto"/>
        <w:ind w:firstLine="709"/>
        <w:contextualSpacing/>
        <w:jc w:val="both"/>
        <w:rPr>
          <w:rFonts w:eastAsia="Times New Roman"/>
          <w:sz w:val="24"/>
          <w:szCs w:val="24"/>
          <w:lang w:eastAsia="ru-RU"/>
        </w:rPr>
      </w:pPr>
      <w:r w:rsidRPr="006F3E78">
        <w:rPr>
          <w:rFonts w:eastAsia="Times New Roman"/>
          <w:sz w:val="24"/>
          <w:szCs w:val="24"/>
          <w:lang w:eastAsia="ru-RU"/>
        </w:rPr>
        <w:t xml:space="preserve">Соответственно – по условию задачи отношения – обязательственные, а именно, обязательства в рамках договора поставки. Применению подлежат специальные (конкретные) нормы о поставке, в случае отсутствия необходимых норм, применению подлежат нормы о купле-продаже, как родовом понятии для поставки и нормы общей части Гражданского кодекса РФ об обязательствах. </w:t>
      </w:r>
    </w:p>
    <w:p w:rsidR="000F0A72" w:rsidRPr="006F3E78" w:rsidRDefault="000F0A72" w:rsidP="00FD065C">
      <w:pPr>
        <w:widowControl w:val="0"/>
        <w:spacing w:after="0" w:line="240" w:lineRule="auto"/>
        <w:ind w:firstLine="709"/>
        <w:contextualSpacing/>
        <w:jc w:val="both"/>
        <w:rPr>
          <w:rFonts w:eastAsia="Times New Roman"/>
          <w:sz w:val="24"/>
          <w:szCs w:val="24"/>
          <w:lang w:eastAsia="ru-RU"/>
        </w:rPr>
      </w:pPr>
      <w:r w:rsidRPr="006F3E78">
        <w:rPr>
          <w:rFonts w:eastAsia="Times New Roman"/>
          <w:sz w:val="24"/>
          <w:szCs w:val="24"/>
          <w:lang w:eastAsia="ru-RU"/>
        </w:rPr>
        <w:t>Конкретизация: нормы о расторжении договора поставки – ст. 523 ГК РФ, охватывают только случаи существенного нарушения условий договора и расторжение договора на этом основании. Следовательно, данная норма не подходит (поскольку в условии не говориться о существенном нарушении). Поэтому для разрешения ситуации подходят нормы общей части ГК РФ (об отказе от договора) – ст.450.1, 310 ГК РФ) в соответствии с которыми односторонний отказ от договора (иными словами расторжение) возможен, если стороны заранее договорились об этом. Далее, второй вид отношений – процессуальные – соответственно анализу подлежат положения Арбитражного процессуального кодекса, а именно, нормы о прекращении производства по делу – ст. 150 АПК РФ содержит основания для прекращения производства.</w:t>
      </w:r>
    </w:p>
    <w:p w:rsidR="000F0A72" w:rsidRPr="006F3E78" w:rsidRDefault="000F0A72" w:rsidP="00BF7413">
      <w:pPr>
        <w:widowControl w:val="0"/>
        <w:numPr>
          <w:ilvl w:val="0"/>
          <w:numId w:val="1"/>
        </w:numPr>
        <w:spacing w:after="0" w:line="240" w:lineRule="auto"/>
        <w:ind w:left="0" w:firstLine="709"/>
        <w:contextualSpacing/>
        <w:jc w:val="both"/>
        <w:rPr>
          <w:rFonts w:eastAsia="Times New Roman"/>
          <w:sz w:val="24"/>
          <w:szCs w:val="24"/>
          <w:lang w:eastAsia="ru-RU"/>
        </w:rPr>
      </w:pPr>
      <w:r w:rsidRPr="006F3E78">
        <w:rPr>
          <w:rFonts w:eastAsia="Times New Roman"/>
          <w:b/>
          <w:sz w:val="24"/>
          <w:szCs w:val="24"/>
          <w:lang w:eastAsia="ru-RU"/>
        </w:rPr>
        <w:t>Уточнение, конкретизация вопроса задачи</w:t>
      </w:r>
      <w:r w:rsidRPr="006F3E78">
        <w:rPr>
          <w:rFonts w:eastAsia="Times New Roman"/>
          <w:sz w:val="24"/>
          <w:szCs w:val="24"/>
          <w:lang w:eastAsia="ru-RU"/>
        </w:rPr>
        <w:t>. В данном примере следует выяснить правильно ли определение суда? Соответственно при формировании выводов следует отталкиваться от оснований прекращения производства по делу.</w:t>
      </w:r>
    </w:p>
    <w:p w:rsidR="000F0A72" w:rsidRPr="006F3E78" w:rsidRDefault="000F0A72" w:rsidP="00BF7413">
      <w:pPr>
        <w:widowControl w:val="0"/>
        <w:numPr>
          <w:ilvl w:val="0"/>
          <w:numId w:val="1"/>
        </w:numPr>
        <w:spacing w:after="0" w:line="240" w:lineRule="auto"/>
        <w:ind w:left="0" w:firstLine="709"/>
        <w:contextualSpacing/>
        <w:jc w:val="both"/>
        <w:rPr>
          <w:rFonts w:eastAsia="Times New Roman"/>
          <w:sz w:val="24"/>
          <w:szCs w:val="24"/>
          <w:lang w:eastAsia="ru-RU"/>
        </w:rPr>
      </w:pPr>
      <w:r w:rsidRPr="006F3E78">
        <w:rPr>
          <w:rFonts w:eastAsia="Times New Roman"/>
          <w:b/>
          <w:sz w:val="24"/>
          <w:szCs w:val="24"/>
          <w:lang w:eastAsia="ru-RU"/>
        </w:rPr>
        <w:t>Определение нескольких «известных» из условия задачи, ключевых для решения ситуации параметров (условий).</w:t>
      </w:r>
      <w:r w:rsidRPr="006F3E78">
        <w:rPr>
          <w:rFonts w:eastAsia="Times New Roman"/>
          <w:sz w:val="24"/>
          <w:szCs w:val="24"/>
          <w:lang w:eastAsia="ru-RU"/>
        </w:rPr>
        <w:t xml:space="preserve"> К таким параметрам следует относить действия, события, документы (акты), которые в гражданском законодательстве могут являться основаниями изменения, возникновения, прекращения гражданских прав и обязанностей. Соответственно, такими параметрами в нашем примере являются: письменное уведомление о расторжении договора, отсутствие ответа контрагента, исковое заявление и определение о прекращении производства по делу.</w:t>
      </w:r>
    </w:p>
    <w:p w:rsidR="000F0A72" w:rsidRDefault="000F0A72" w:rsidP="00BF7413">
      <w:pPr>
        <w:widowControl w:val="0"/>
        <w:numPr>
          <w:ilvl w:val="0"/>
          <w:numId w:val="1"/>
        </w:numPr>
        <w:spacing w:after="0" w:line="240" w:lineRule="auto"/>
        <w:ind w:left="0" w:firstLine="709"/>
        <w:contextualSpacing/>
        <w:jc w:val="both"/>
        <w:rPr>
          <w:rFonts w:eastAsia="Times New Roman"/>
          <w:sz w:val="24"/>
          <w:szCs w:val="24"/>
          <w:lang w:eastAsia="ru-RU"/>
        </w:rPr>
      </w:pPr>
      <w:r w:rsidRPr="006F3E78">
        <w:rPr>
          <w:rFonts w:eastAsia="Times New Roman"/>
          <w:b/>
          <w:sz w:val="24"/>
          <w:szCs w:val="24"/>
          <w:lang w:eastAsia="ru-RU"/>
        </w:rPr>
        <w:t>Анализ отобранных норм права, соотнесение действий субъектов с нормами права и определение правомерности или неправомерности таких действий.</w:t>
      </w:r>
      <w:r w:rsidRPr="006F3E78">
        <w:rPr>
          <w:rFonts w:eastAsia="Times New Roman"/>
          <w:sz w:val="24"/>
          <w:szCs w:val="24"/>
          <w:lang w:eastAsia="ru-RU"/>
        </w:rPr>
        <w:t xml:space="preserve"> Так в нашей задаче на основе анализа указанных норм права можно сделать вывод, что торговый дом имел право на одностороннее расторжение договора путём письменного уведомления об этом, поскольку стороны заранее согласовали такое основание прекращения в договоре. После такого уведомления договор прекращается. Соответственно суд поступил правомерно, поскольку (по ч.1. ст.150 АПК РФ) дело не подлежит рассмотрению в арбитражном суде в силу отсутствия спора, а правовые последствия, ожидаемые от направления уведомления о расторжении уже наступили.</w:t>
      </w:r>
    </w:p>
    <w:p w:rsidR="00BF7413" w:rsidRPr="006F3E78" w:rsidRDefault="00BF7413" w:rsidP="00BF7413">
      <w:pPr>
        <w:widowControl w:val="0"/>
        <w:spacing w:after="0" w:line="240" w:lineRule="auto"/>
        <w:ind w:left="709"/>
        <w:contextualSpacing/>
        <w:jc w:val="both"/>
        <w:rPr>
          <w:rFonts w:eastAsia="Times New Roman"/>
          <w:sz w:val="24"/>
          <w:szCs w:val="24"/>
          <w:lang w:eastAsia="ru-RU"/>
        </w:rPr>
      </w:pPr>
    </w:p>
    <w:p w:rsidR="000F0A72" w:rsidRPr="00BF7413" w:rsidRDefault="000F0A72" w:rsidP="00BF7413">
      <w:pPr>
        <w:widowControl w:val="0"/>
        <w:spacing w:after="0" w:line="240" w:lineRule="auto"/>
        <w:ind w:firstLine="709"/>
        <w:jc w:val="both"/>
        <w:rPr>
          <w:rFonts w:eastAsia="Times New Roman"/>
          <w:b/>
          <w:sz w:val="24"/>
          <w:szCs w:val="24"/>
          <w:lang w:eastAsia="ru-RU"/>
        </w:rPr>
      </w:pPr>
      <w:r w:rsidRPr="00BF7413">
        <w:rPr>
          <w:rFonts w:eastAsia="Times New Roman"/>
          <w:b/>
          <w:sz w:val="24"/>
          <w:szCs w:val="24"/>
          <w:lang w:eastAsia="ru-RU"/>
        </w:rPr>
        <w:t>Алгоритм составления договоров</w:t>
      </w:r>
    </w:p>
    <w:p w:rsidR="000F0A72" w:rsidRPr="006F3E78" w:rsidRDefault="000F0A72" w:rsidP="00BF7413">
      <w:pPr>
        <w:widowControl w:val="0"/>
        <w:spacing w:after="0" w:line="240" w:lineRule="auto"/>
        <w:ind w:firstLine="709"/>
        <w:jc w:val="both"/>
        <w:rPr>
          <w:rFonts w:eastAsia="Times New Roman"/>
          <w:sz w:val="24"/>
          <w:szCs w:val="24"/>
          <w:lang w:eastAsia="ru-RU"/>
        </w:rPr>
      </w:pPr>
    </w:p>
    <w:p w:rsidR="000F0A72" w:rsidRPr="006F3E78" w:rsidRDefault="000F0A72" w:rsidP="00BF7413">
      <w:pPr>
        <w:widowControl w:val="0"/>
        <w:spacing w:after="0" w:line="240" w:lineRule="auto"/>
        <w:ind w:firstLine="709"/>
        <w:jc w:val="both"/>
        <w:rPr>
          <w:rFonts w:eastAsia="Times New Roman"/>
          <w:sz w:val="24"/>
          <w:szCs w:val="24"/>
          <w:lang w:eastAsia="ru-RU"/>
        </w:rPr>
      </w:pPr>
      <w:r w:rsidRPr="006F3E78">
        <w:rPr>
          <w:rFonts w:eastAsia="Times New Roman"/>
          <w:sz w:val="24"/>
          <w:szCs w:val="24"/>
          <w:lang w:eastAsia="ru-RU"/>
        </w:rPr>
        <w:t>Для составления правовых документов, которые впоследствии будут гарантировать успех в споре с контрагентом, необходимо отталкиваться от возможных правовых рисков, от возможных нарушений своих обязательств сторонами. Поэтому:</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Необходимо определить круг правовых норм, которые применяются к конкретному договору (например, требуется заключить договор поставки – параграф 3 глава 30 ГК) и установить существенные условия договора.</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 xml:space="preserve">Детально прописать все существенные условия договора, позволяющие максимально точно их идентифицировать. </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Детализировать иные условия договора, нарушение которых может повлечь проблемы с определением размера убытков.</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Проанализировать законодательство на предмет правовых последствий нарушения существенных условий для данного вида договора и прописать согласованные варианты таких последствий</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 xml:space="preserve"> Проанализировать законодательство на предмет правовых последствий нарушения обычных условий для данного вида договора и прописать согласованные варианты таких последствий.</w:t>
      </w:r>
    </w:p>
    <w:p w:rsidR="000F0A72" w:rsidRPr="00BF7413" w:rsidRDefault="000F0A72" w:rsidP="00FD065C">
      <w:pPr>
        <w:widowControl w:val="0"/>
        <w:numPr>
          <w:ilvl w:val="0"/>
          <w:numId w:val="2"/>
        </w:numPr>
        <w:tabs>
          <w:tab w:val="left" w:pos="1134"/>
        </w:tabs>
        <w:spacing w:after="0" w:line="240" w:lineRule="auto"/>
        <w:ind w:left="0" w:right="-1" w:firstLine="709"/>
        <w:contextualSpacing/>
        <w:jc w:val="both"/>
        <w:rPr>
          <w:rFonts w:eastAsia="Calibri"/>
          <w:sz w:val="24"/>
          <w:szCs w:val="24"/>
        </w:rPr>
      </w:pPr>
      <w:r w:rsidRPr="00BF7413">
        <w:rPr>
          <w:rFonts w:eastAsia="Times New Roman"/>
          <w:sz w:val="24"/>
          <w:szCs w:val="24"/>
          <w:lang w:eastAsia="ru-RU"/>
        </w:rPr>
        <w:t xml:space="preserve">Детально прописать положения договора об ответственности сторон. Включая моменты, отражающие возможность взыскания упущенной выгоды и порядка предъявления требований. </w:t>
      </w:r>
    </w:p>
    <w:p w:rsidR="000F0A72" w:rsidRPr="006F3E78" w:rsidRDefault="000F0A72" w:rsidP="00BF7413">
      <w:pPr>
        <w:spacing w:after="0" w:line="240" w:lineRule="auto"/>
        <w:jc w:val="both"/>
        <w:rPr>
          <w:rFonts w:eastAsia="Calibri"/>
          <w:sz w:val="24"/>
          <w:szCs w:val="24"/>
        </w:rPr>
      </w:pPr>
    </w:p>
    <w:p w:rsidR="000F0A72" w:rsidRDefault="000F0A72" w:rsidP="00FD065C">
      <w:pPr>
        <w:autoSpaceDE w:val="0"/>
        <w:autoSpaceDN w:val="0"/>
        <w:adjustRightInd w:val="0"/>
        <w:spacing w:after="0" w:line="240" w:lineRule="auto"/>
        <w:ind w:firstLine="709"/>
        <w:jc w:val="both"/>
        <w:rPr>
          <w:b/>
          <w:bCs/>
          <w:color w:val="000000"/>
          <w:sz w:val="24"/>
          <w:szCs w:val="24"/>
        </w:rPr>
      </w:pPr>
      <w:r>
        <w:rPr>
          <w:b/>
          <w:bCs/>
          <w:color w:val="000000"/>
          <w:sz w:val="24"/>
          <w:szCs w:val="24"/>
        </w:rPr>
        <w:t xml:space="preserve">5 </w:t>
      </w:r>
      <w:r w:rsidRPr="006F3E78">
        <w:rPr>
          <w:b/>
          <w:bCs/>
          <w:color w:val="000000"/>
          <w:sz w:val="24"/>
          <w:szCs w:val="24"/>
        </w:rPr>
        <w:t xml:space="preserve">Порядок проведения государственного экзамена и методические материалы, определяющие процедуру оценивания результатов освоения образовательной программы на этом этапе государственных испытаний </w:t>
      </w:r>
    </w:p>
    <w:p w:rsidR="00FD065C" w:rsidRPr="006F3E78" w:rsidRDefault="00FD065C" w:rsidP="00FD065C">
      <w:pPr>
        <w:autoSpaceDE w:val="0"/>
        <w:autoSpaceDN w:val="0"/>
        <w:adjustRightInd w:val="0"/>
        <w:spacing w:after="0" w:line="240" w:lineRule="auto"/>
        <w:ind w:firstLine="709"/>
        <w:jc w:val="both"/>
        <w:rPr>
          <w:color w:val="000000"/>
          <w:sz w:val="24"/>
          <w:szCs w:val="24"/>
        </w:rPr>
      </w:pP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К сдаче государственного итогового экзамена допускаются обучающиеся, полностью выполнившие учебный план и не имеющие академических задолженностей.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Перед экзаменом проводятся консультации.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Итоговый экзамен по направлению подготовки 40.03.01 Юриспруденция (</w:t>
      </w:r>
      <w:r w:rsidR="00FD065C" w:rsidRPr="006F3E78">
        <w:rPr>
          <w:color w:val="000000"/>
          <w:sz w:val="24"/>
          <w:szCs w:val="24"/>
        </w:rPr>
        <w:t xml:space="preserve">профиль </w:t>
      </w:r>
      <w:proofErr w:type="spellStart"/>
      <w:r w:rsidR="00FD065C">
        <w:rPr>
          <w:color w:val="000000"/>
          <w:sz w:val="24"/>
          <w:szCs w:val="24"/>
        </w:rPr>
        <w:t>гражданско</w:t>
      </w:r>
      <w:proofErr w:type="spellEnd"/>
      <w:r>
        <w:rPr>
          <w:color w:val="000000"/>
          <w:sz w:val="24"/>
          <w:szCs w:val="24"/>
        </w:rPr>
        <w:t xml:space="preserve"> -</w:t>
      </w:r>
      <w:r w:rsidRPr="006F3E78">
        <w:rPr>
          <w:color w:val="000000"/>
          <w:sz w:val="24"/>
          <w:szCs w:val="24"/>
        </w:rPr>
        <w:t>правовой) проводится в устной форме по билетам, разрабатываемым кафедрой</w:t>
      </w:r>
      <w:r>
        <w:rPr>
          <w:color w:val="000000"/>
          <w:sz w:val="24"/>
          <w:szCs w:val="24"/>
        </w:rPr>
        <w:t xml:space="preserve"> гражданского права и </w:t>
      </w:r>
      <w:r w:rsidR="00FD065C">
        <w:rPr>
          <w:color w:val="000000"/>
          <w:sz w:val="24"/>
          <w:szCs w:val="24"/>
        </w:rPr>
        <w:t>процесса.</w:t>
      </w:r>
      <w:r w:rsidRPr="006F3E78">
        <w:rPr>
          <w:color w:val="000000"/>
          <w:sz w:val="24"/>
          <w:szCs w:val="24"/>
        </w:rPr>
        <w:t xml:space="preserve"> Для подготовки ответа студент использует экзаменационные листы.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Для проведения государственной итоговой аттестации формируется государственная экзаменационная комиссия, которая состоит из председателя, членов комиссии и секретаря.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Государственная экзаменационная комиссия формируется из преподавателей кафедры</w:t>
      </w:r>
      <w:r>
        <w:rPr>
          <w:color w:val="000000"/>
          <w:sz w:val="24"/>
          <w:szCs w:val="24"/>
        </w:rPr>
        <w:t xml:space="preserve"> гражданского права и </w:t>
      </w:r>
      <w:r w:rsidR="00FD065C">
        <w:rPr>
          <w:color w:val="000000"/>
          <w:sz w:val="24"/>
          <w:szCs w:val="24"/>
        </w:rPr>
        <w:t>процесса,</w:t>
      </w:r>
      <w:r w:rsidRPr="006F3E78">
        <w:rPr>
          <w:color w:val="000000"/>
          <w:sz w:val="24"/>
          <w:szCs w:val="24"/>
        </w:rPr>
        <w:t xml:space="preserve"> а также ведущих специалистов – представителей работодателей в соответствующей области профессиональной деятельности.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Основными задачами государственной экзаменационной комиссии являются: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 определение соответствия подготовки выпускника требованиям федерального государственного образовательного стандарта высшего образования и уровня его подготовки;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 принятие решения о присвоении квалификации и выдаче студенту, успешно прошедшему государственную итоговую аттестацию, документа государственного образца о высшем образовании.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color w:val="000000"/>
          <w:sz w:val="24"/>
          <w:szCs w:val="24"/>
        </w:rPr>
        <w:t xml:space="preserve">Для ответа на билеты студенту предоставляется возможность подготовки в течение </w:t>
      </w:r>
      <w:r w:rsidR="00FD065C">
        <w:rPr>
          <w:color w:val="000000"/>
          <w:sz w:val="24"/>
          <w:szCs w:val="24"/>
        </w:rPr>
        <w:t>30-</w:t>
      </w:r>
      <w:r w:rsidRPr="006F3E78">
        <w:rPr>
          <w:color w:val="000000"/>
          <w:sz w:val="24"/>
          <w:szCs w:val="24"/>
        </w:rPr>
        <w:t>40 минут, для выступления не более 20 минут, после чего председатель гос</w:t>
      </w:r>
      <w:r>
        <w:rPr>
          <w:color w:val="000000"/>
          <w:sz w:val="24"/>
          <w:szCs w:val="24"/>
        </w:rPr>
        <w:t xml:space="preserve">ударственной экзаменационной </w:t>
      </w:r>
      <w:r w:rsidRPr="006F3E78">
        <w:rPr>
          <w:sz w:val="24"/>
          <w:szCs w:val="24"/>
        </w:rPr>
        <w:t xml:space="preserve">комиссии предлагает ее членам задать студенту вопросы. Членами комиссии задаются вопросы по теме экзаменационного билета, позволяющие определить уровень знаний, умений и владения навыками, определенными образовательной программой подготовки студента.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lastRenderedPageBreak/>
        <w:t xml:space="preserve">Ответы студента оцениваются каждым членом комиссии, а итоговая оценка по пятибалльной системе выставляется в результате закрытого обсуждения. При отсутствии большинства в решении вопроса об оценке, решающий голос принадлежит председателю государственной экзаменационной комиссии по приему государственного экзамена. Результаты государственного экзамена объявляются в день его проведения после оформления протокола заседания экзаменационной комиссии.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Критерии оценивания: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оценка «отлично» выставляется студенту, если он показывает глубокие и прочные знания программного материала, исчерпывающе, последовательно, четко и обоснованно его излагает; демонстрирует сформированные навыки анализа основных проблем</w:t>
      </w:r>
      <w:r>
        <w:rPr>
          <w:sz w:val="24"/>
          <w:szCs w:val="24"/>
        </w:rPr>
        <w:t xml:space="preserve"> в области юриспруденции п</w:t>
      </w:r>
      <w:r w:rsidR="00FD065C">
        <w:rPr>
          <w:sz w:val="24"/>
          <w:szCs w:val="24"/>
        </w:rPr>
        <w:t>о гражданско- правовому профилю</w:t>
      </w:r>
      <w:r w:rsidRPr="006F3E78">
        <w:rPr>
          <w:sz w:val="24"/>
          <w:szCs w:val="24"/>
        </w:rPr>
        <w:t xml:space="preserve">; навыки аргументированного и обоснованного выражения своей позиции; умеет тесно связывать теорию с практикой; свободно справляется с дополнительными вопросами; правильно решает поставленные задачи и обосновывает свое решение, опираясь на знание нормативно-правового материала;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оценка «хорошо» выставляется студенту, если он демонстрирует знание материала курса, грамотно и по существу его излагает, допуская несущественные неточности в ответе; демонстрирует навыки анализа основных проблем</w:t>
      </w:r>
      <w:r>
        <w:rPr>
          <w:sz w:val="24"/>
          <w:szCs w:val="24"/>
        </w:rPr>
        <w:t xml:space="preserve"> в области юриспруденции по гражданско- правовому профилю</w:t>
      </w:r>
      <w:r w:rsidRPr="006F3E78">
        <w:rPr>
          <w:sz w:val="24"/>
          <w:szCs w:val="24"/>
        </w:rPr>
        <w:t xml:space="preserve">; правильно применяет теоретические положения при решении практических вопросов и заданий; владеет необходимыми навыками их выполнения;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 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 </w:t>
      </w:r>
    </w:p>
    <w:p w:rsidR="000F0A72"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 оценка «неудовлетворительно» выставляется студенту, если он не знает программный материал, допускает существенные ошибки в формулировках юридических понятий и категорий, не может связать теорию с практикой; не справляется самостоятельно с решением практических заданий. </w:t>
      </w:r>
    </w:p>
    <w:sectPr w:rsidR="000F0A72" w:rsidSect="00FD065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D47E1"/>
    <w:multiLevelType w:val="hybridMultilevel"/>
    <w:tmpl w:val="AFFE1848"/>
    <w:lvl w:ilvl="0" w:tplc="FB1E4564">
      <w:start w:val="1"/>
      <w:numFmt w:val="decimal"/>
      <w:lvlText w:val="%1."/>
      <w:lvlJc w:val="left"/>
      <w:pPr>
        <w:ind w:left="502"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C227D06"/>
    <w:multiLevelType w:val="hybridMultilevel"/>
    <w:tmpl w:val="DEB6820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6B5"/>
    <w:rsid w:val="000E6AE8"/>
    <w:rsid w:val="000F0A72"/>
    <w:rsid w:val="00521317"/>
    <w:rsid w:val="00647997"/>
    <w:rsid w:val="00657E30"/>
    <w:rsid w:val="006E785C"/>
    <w:rsid w:val="00807E16"/>
    <w:rsid w:val="008D32B1"/>
    <w:rsid w:val="008F6F91"/>
    <w:rsid w:val="00914657"/>
    <w:rsid w:val="009347FA"/>
    <w:rsid w:val="00AC239D"/>
    <w:rsid w:val="00B676B5"/>
    <w:rsid w:val="00BE4772"/>
    <w:rsid w:val="00BF7413"/>
    <w:rsid w:val="00CC6C4D"/>
    <w:rsid w:val="00D10F69"/>
    <w:rsid w:val="00D27F80"/>
    <w:rsid w:val="00E07A26"/>
    <w:rsid w:val="00E7354A"/>
    <w:rsid w:val="00FD065C"/>
    <w:rsid w:val="00FF5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F3D76"/>
  <w15:docId w15:val="{B27D4F7E-79EC-441E-AB47-4CDCFD43E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785C"/>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6E785C"/>
    <w:pPr>
      <w:spacing w:after="0" w:line="240" w:lineRule="auto"/>
    </w:pPr>
    <w:rPr>
      <w:sz w:val="24"/>
    </w:rPr>
  </w:style>
  <w:style w:type="character" w:customStyle="1" w:styleId="ReportMain0">
    <w:name w:val="Report_Main Знак"/>
    <w:basedOn w:val="a0"/>
    <w:link w:val="ReportMain"/>
    <w:rsid w:val="006E785C"/>
    <w:rPr>
      <w:rFonts w:ascii="Times New Roman" w:hAnsi="Times New Roman" w:cs="Times New Roman"/>
      <w:sz w:val="24"/>
    </w:rPr>
  </w:style>
  <w:style w:type="paragraph" w:customStyle="1" w:styleId="Default">
    <w:name w:val="Default"/>
    <w:rsid w:val="006E785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01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2008</Words>
  <Characters>11451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2025-02-25T10:51:00Z</dcterms:created>
  <dcterms:modified xsi:type="dcterms:W3CDTF">2025-02-25T10:53:00Z</dcterms:modified>
</cp:coreProperties>
</file>