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80F" w:rsidRPr="00374159" w:rsidRDefault="0075180F" w:rsidP="004269E2">
      <w:pPr>
        <w:autoSpaceDE w:val="0"/>
        <w:autoSpaceDN w:val="0"/>
        <w:adjustRightInd w:val="0"/>
        <w:spacing w:line="360" w:lineRule="auto"/>
        <w:jc w:val="right"/>
        <w:rPr>
          <w:b/>
          <w:i/>
          <w:sz w:val="28"/>
          <w:szCs w:val="28"/>
        </w:rPr>
      </w:pPr>
      <w:r w:rsidRPr="00374159">
        <w:rPr>
          <w:b/>
          <w:i/>
          <w:sz w:val="28"/>
          <w:szCs w:val="28"/>
        </w:rPr>
        <w:t>На правах рукописи</w:t>
      </w:r>
    </w:p>
    <w:p w:rsidR="0075180F" w:rsidRDefault="0075180F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2B0C76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75180F" w:rsidRPr="00E01DB3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75180F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Pr="00491396" w:rsidRDefault="0075180F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Default="0075180F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180F" w:rsidRPr="00D950CD" w:rsidRDefault="0075180F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75180F" w:rsidRPr="003E0DC1" w:rsidRDefault="0075180F" w:rsidP="00DA7141">
      <w:pPr>
        <w:pStyle w:val="ReportHead"/>
        <w:suppressAutoHyphens/>
        <w:spacing w:before="120"/>
        <w:rPr>
          <w:i/>
          <w:szCs w:val="28"/>
        </w:rPr>
      </w:pPr>
      <w:r w:rsidRPr="003E0DC1">
        <w:rPr>
          <w:i/>
          <w:szCs w:val="28"/>
        </w:rPr>
        <w:t>«Б.1.</w:t>
      </w:r>
      <w:r w:rsidR="00A22C8D">
        <w:rPr>
          <w:i/>
          <w:szCs w:val="28"/>
        </w:rPr>
        <w:t>Д.В.Э</w:t>
      </w:r>
      <w:r w:rsidRPr="003E0DC1">
        <w:rPr>
          <w:i/>
          <w:szCs w:val="28"/>
        </w:rPr>
        <w:t>.2.1 Механика сыпучих сред»</w:t>
      </w:r>
    </w:p>
    <w:p w:rsidR="0075180F" w:rsidRPr="003E0DC1" w:rsidRDefault="0075180F" w:rsidP="00E01DB3">
      <w:pPr>
        <w:suppressAutoHyphens/>
        <w:jc w:val="center"/>
        <w:rPr>
          <w:sz w:val="28"/>
          <w:szCs w:val="28"/>
          <w:lang w:eastAsia="en-US"/>
        </w:rPr>
      </w:pP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75180F" w:rsidRPr="00E01DB3" w:rsidRDefault="0075180F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75180F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8F2385">
        <w:rPr>
          <w:i/>
          <w:u w:val="single"/>
        </w:rPr>
        <w:t>19.03.04 Технология продукции и организация общественного питания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>(код и наименование направления подготовки)</w:t>
      </w:r>
    </w:p>
    <w:p w:rsidR="0075180F" w:rsidRPr="00E01DB3" w:rsidRDefault="00E03E99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Технология производства продукции общественного питания и ресторанный сервис</w:t>
      </w:r>
    </w:p>
    <w:p w:rsidR="0075180F" w:rsidRPr="00E01DB3" w:rsidRDefault="0075180F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75180F" w:rsidRPr="00E01DB3" w:rsidRDefault="0075180F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75180F" w:rsidRPr="00E01DB3" w:rsidRDefault="0075180F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Очная</w:t>
      </w: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Default="0075180F" w:rsidP="00E01DB3">
      <w:pPr>
        <w:suppressAutoHyphens/>
        <w:jc w:val="center"/>
        <w:rPr>
          <w:szCs w:val="22"/>
          <w:lang w:eastAsia="en-US"/>
        </w:rPr>
      </w:pPr>
    </w:p>
    <w:p w:rsidR="00E03E99" w:rsidRDefault="00E03E99" w:rsidP="00E01DB3">
      <w:pPr>
        <w:suppressAutoHyphens/>
        <w:jc w:val="center"/>
        <w:rPr>
          <w:szCs w:val="22"/>
          <w:lang w:eastAsia="en-US"/>
        </w:rPr>
      </w:pPr>
    </w:p>
    <w:p w:rsidR="00E03E99" w:rsidRPr="00E01DB3" w:rsidRDefault="00E03E99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75180F" w:rsidP="00E01DB3">
      <w:pPr>
        <w:suppressAutoHyphens/>
        <w:jc w:val="center"/>
        <w:rPr>
          <w:szCs w:val="22"/>
          <w:lang w:eastAsia="en-US"/>
        </w:rPr>
      </w:pPr>
    </w:p>
    <w:p w:rsidR="0075180F" w:rsidRPr="00E01DB3" w:rsidRDefault="00B81626" w:rsidP="00E01DB3">
      <w:pPr>
        <w:suppressAutoHyphens/>
        <w:jc w:val="center"/>
        <w:rPr>
          <w:szCs w:val="22"/>
          <w:lang w:eastAsia="en-US"/>
        </w:rPr>
        <w:sectPr w:rsidR="0075180F" w:rsidRPr="00E01DB3" w:rsidSect="00374159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2025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lastRenderedPageBreak/>
        <w:t>Составители _____________________ Попов В.П.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                     _____________________ Ханина Т.В.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 xml:space="preserve">Методические указания рассмотрены и одобрены на заседании кафедры пищевой биотехнологии </w:t>
      </w:r>
      <w:r>
        <w:rPr>
          <w:lang w:eastAsia="en-US"/>
        </w:rPr>
        <w:t>п</w:t>
      </w:r>
      <w:r w:rsidR="00B81626">
        <w:rPr>
          <w:lang w:eastAsia="en-US"/>
        </w:rPr>
        <w:t>ротокол №    от «___» _________ 2025</w:t>
      </w:r>
      <w:r w:rsidRPr="00BD7767">
        <w:rPr>
          <w:lang w:eastAsia="en-US"/>
        </w:rPr>
        <w:t xml:space="preserve"> г. </w:t>
      </w: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</w:p>
    <w:p w:rsidR="00D30B6C" w:rsidRPr="00BD7767" w:rsidRDefault="00D30B6C" w:rsidP="00D30B6C">
      <w:pPr>
        <w:spacing w:after="200" w:line="276" w:lineRule="auto"/>
        <w:jc w:val="both"/>
        <w:rPr>
          <w:lang w:eastAsia="en-US"/>
        </w:rPr>
      </w:pPr>
      <w:r w:rsidRPr="00BD7767">
        <w:rPr>
          <w:lang w:eastAsia="en-US"/>
        </w:rPr>
        <w:t>Заведующий кафедрой ___</w:t>
      </w:r>
      <w:r w:rsidR="00B81626">
        <w:rPr>
          <w:lang w:eastAsia="en-US"/>
        </w:rPr>
        <w:t>_____________________ Быков А.В.</w:t>
      </w:r>
      <w:bookmarkStart w:id="1" w:name="_GoBack"/>
      <w:bookmarkEnd w:id="1"/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pStyle w:val="ReportHead"/>
        <w:suppressAutoHyphens/>
        <w:spacing w:before="120"/>
        <w:rPr>
          <w:color w:val="000000"/>
          <w:sz w:val="24"/>
          <w:szCs w:val="24"/>
        </w:rPr>
      </w:pPr>
      <w:r w:rsidRPr="00BD7767">
        <w:rPr>
          <w:sz w:val="24"/>
          <w:szCs w:val="24"/>
        </w:rPr>
        <w:t>Методические указания является приложением к рабочей программе по дисцип</w:t>
      </w:r>
      <w:r>
        <w:rPr>
          <w:sz w:val="24"/>
          <w:szCs w:val="24"/>
        </w:rPr>
        <w:t>лине Механика сыпучих сред</w:t>
      </w:r>
      <w:r w:rsidRPr="00BD7767">
        <w:rPr>
          <w:sz w:val="24"/>
          <w:szCs w:val="24"/>
        </w:rPr>
        <w:t>, зарегистрированной в ЦИТ под учетным номером _______</w:t>
      </w:r>
    </w:p>
    <w:p w:rsidR="00D30B6C" w:rsidRPr="00BD7767" w:rsidRDefault="00D30B6C" w:rsidP="00D30B6C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30B6C" w:rsidRPr="00BD7767" w:rsidTr="004E5190">
        <w:tc>
          <w:tcPr>
            <w:tcW w:w="3522" w:type="dxa"/>
          </w:tcPr>
          <w:p w:rsidR="00D30B6C" w:rsidRPr="00BD7767" w:rsidRDefault="00D30B6C" w:rsidP="004E5190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D30B6C" w:rsidRPr="00BD7767" w:rsidTr="004E5190">
        <w:tc>
          <w:tcPr>
            <w:tcW w:w="3522" w:type="dxa"/>
          </w:tcPr>
          <w:p w:rsidR="00D30B6C" w:rsidRPr="00BD7767" w:rsidRDefault="00D30B6C" w:rsidP="004E5190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</w:tbl>
    <w:p w:rsidR="00D30B6C" w:rsidRPr="00BD7767" w:rsidRDefault="00D30B6C" w:rsidP="00D30B6C">
      <w:pPr>
        <w:jc w:val="both"/>
        <w:rPr>
          <w:snapToGrid w:val="0"/>
        </w:rPr>
      </w:pPr>
    </w:p>
    <w:p w:rsidR="00D30B6C" w:rsidRPr="00BD7767" w:rsidRDefault="00D30B6C" w:rsidP="00D30B6C">
      <w:pPr>
        <w:spacing w:after="200" w:line="276" w:lineRule="auto"/>
        <w:rPr>
          <w:snapToGrid w:val="0"/>
        </w:rPr>
      </w:pPr>
    </w:p>
    <w:p w:rsidR="00D30B6C" w:rsidRPr="003A161E" w:rsidRDefault="00D30B6C" w:rsidP="00D30B6C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3A161E">
        <w:rPr>
          <w:b/>
          <w:color w:val="000000"/>
          <w:spacing w:val="7"/>
        </w:rPr>
        <w:lastRenderedPageBreak/>
        <w:t>Содержание</w:t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498"/>
        <w:gridCol w:w="709"/>
      </w:tblGrid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Pr="006C0504">
              <w:rPr>
                <w:color w:val="000000"/>
                <w:spacing w:val="7"/>
              </w:rPr>
              <w:t xml:space="preserve"> Метод</w:t>
            </w:r>
            <w:r>
              <w:rPr>
                <w:color w:val="000000"/>
                <w:spacing w:val="7"/>
              </w:rPr>
              <w:t>ические указания по лабораторным</w:t>
            </w:r>
            <w:r w:rsidRPr="006C0504">
              <w:rPr>
                <w:color w:val="000000"/>
                <w:spacing w:val="7"/>
              </w:rPr>
              <w:t xml:space="preserve"> занятиям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Pr="006C0504">
              <w:rPr>
                <w:color w:val="000000"/>
                <w:spacing w:val="7"/>
              </w:rPr>
              <w:t xml:space="preserve"> Методические указания по выполнению комплексного практического задания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Default="00D30B6C" w:rsidP="004E5190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 Методические указания по самостоятельной работе</w:t>
            </w:r>
          </w:p>
        </w:tc>
        <w:tc>
          <w:tcPr>
            <w:tcW w:w="709" w:type="dxa"/>
            <w:vAlign w:val="bottom"/>
          </w:tcPr>
          <w:p w:rsidR="00D30B6C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 xml:space="preserve">5 Методические указания по подготовке к </w:t>
            </w:r>
            <w:r>
              <w:rPr>
                <w:color w:val="000000"/>
                <w:spacing w:val="7"/>
              </w:rPr>
              <w:t xml:space="preserve">диф. </w:t>
            </w:r>
            <w:r w:rsidRPr="006C0504">
              <w:rPr>
                <w:color w:val="000000"/>
                <w:spacing w:val="7"/>
              </w:rPr>
              <w:t>зачету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D30B6C" w:rsidRPr="006C0504" w:rsidTr="004E5190">
        <w:tc>
          <w:tcPr>
            <w:tcW w:w="9498" w:type="dxa"/>
          </w:tcPr>
          <w:p w:rsidR="00D30B6C" w:rsidRPr="006C0504" w:rsidRDefault="00D30B6C" w:rsidP="004E5190">
            <w:pPr>
              <w:jc w:val="both"/>
              <w:rPr>
                <w:color w:val="000000"/>
                <w:spacing w:val="7"/>
              </w:rPr>
            </w:pPr>
            <w:r w:rsidRPr="006C0504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709" w:type="dxa"/>
            <w:vAlign w:val="bottom"/>
          </w:tcPr>
          <w:p w:rsidR="00D30B6C" w:rsidRPr="006C0504" w:rsidRDefault="00D30B6C" w:rsidP="004E5190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D30B6C" w:rsidRDefault="00D30B6C" w:rsidP="00D30B6C"/>
    <w:p w:rsidR="0075180F" w:rsidRPr="004269E2" w:rsidRDefault="0075180F" w:rsidP="00E72A96">
      <w:pPr>
        <w:pStyle w:val="ReportHead"/>
        <w:suppressAutoHyphens/>
        <w:spacing w:before="120"/>
      </w:pPr>
    </w:p>
    <w:p w:rsidR="0075180F" w:rsidRDefault="0075180F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75180F" w:rsidTr="004269E2">
        <w:tc>
          <w:tcPr>
            <w:tcW w:w="3522" w:type="dxa"/>
          </w:tcPr>
          <w:p w:rsidR="0075180F" w:rsidRPr="001F2AE1" w:rsidRDefault="0075180F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75180F" w:rsidRDefault="0075180F" w:rsidP="004269E2">
      <w:pPr>
        <w:jc w:val="both"/>
        <w:rPr>
          <w:snapToGrid w:val="0"/>
          <w:sz w:val="28"/>
          <w:szCs w:val="28"/>
        </w:rPr>
      </w:pPr>
    </w:p>
    <w:p w:rsidR="0075180F" w:rsidRDefault="0075180F" w:rsidP="00C363B1">
      <w:pPr>
        <w:spacing w:after="200" w:line="276" w:lineRule="auto"/>
        <w:rPr>
          <w:snapToGrid w:val="0"/>
          <w:sz w:val="28"/>
          <w:szCs w:val="28"/>
        </w:rPr>
      </w:pPr>
    </w:p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75180F" w:rsidRDefault="0075180F" w:rsidP="00674E3F"/>
    <w:p w:rsidR="00AC394E" w:rsidRDefault="00AC394E" w:rsidP="00AC394E">
      <w:pPr>
        <w:autoSpaceDE w:val="0"/>
        <w:autoSpaceDN w:val="0"/>
        <w:adjustRightInd w:val="0"/>
      </w:pPr>
    </w:p>
    <w:p w:rsidR="00D30B6C" w:rsidRDefault="00D30B6C" w:rsidP="00AC394E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D06C5F">
      <w:pPr>
        <w:autoSpaceDE w:val="0"/>
        <w:autoSpaceDN w:val="0"/>
        <w:adjustRightInd w:val="0"/>
        <w:rPr>
          <w:b/>
          <w:color w:val="000000"/>
        </w:rPr>
      </w:pPr>
    </w:p>
    <w:p w:rsidR="0075180F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75180F" w:rsidRPr="00732E02" w:rsidRDefault="0075180F" w:rsidP="00674E3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75180F" w:rsidRPr="00A0599C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75180F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содержанием рабочей программы дисциплины (</w:t>
      </w:r>
      <w:r w:rsidR="00C363B1">
        <w:rPr>
          <w:color w:val="000000"/>
        </w:rPr>
        <w:t>МСС</w:t>
      </w:r>
      <w:r w:rsidRPr="00A0599C">
        <w:rPr>
          <w:color w:val="000000"/>
        </w:rPr>
        <w:t>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75180F" w:rsidRPr="00A1500B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лекционные, лабораторные и </w:t>
      </w:r>
      <w:r w:rsidRPr="00A1500B">
        <w:rPr>
          <w:color w:val="000000"/>
        </w:rPr>
        <w:t xml:space="preserve">практические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>
        <w:rPr>
          <w:color w:val="000000"/>
        </w:rPr>
        <w:t xml:space="preserve">, лабораторных </w:t>
      </w:r>
      <w:r w:rsidRPr="00A1500B">
        <w:rPr>
          <w:color w:val="000000"/>
        </w:rPr>
        <w:t xml:space="preserve">и практических занятиях темы и вопросы обязательно фиксировать (либо на бумажных, либо на машинных носителях информации); </w:t>
      </w:r>
    </w:p>
    <w:p w:rsidR="0075180F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обязательно выполнять все домашние задания, получаемые на лекциях или практических занятиях;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>на лабораторных и</w:t>
      </w:r>
      <w:r w:rsidRPr="00A1500B">
        <w:rPr>
          <w:color w:val="000000"/>
        </w:rPr>
        <w:t xml:space="preserve"> практических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75180F" w:rsidRPr="00A1500B" w:rsidRDefault="0075180F" w:rsidP="00674E3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75180F" w:rsidRPr="00A0599C" w:rsidRDefault="0075180F" w:rsidP="00674E3F">
      <w:pPr>
        <w:ind w:firstLine="709"/>
        <w:jc w:val="both"/>
        <w:rPr>
          <w:b/>
        </w:rPr>
      </w:pPr>
    </w:p>
    <w:p w:rsidR="0075180F" w:rsidRPr="00A0599C" w:rsidRDefault="0075180F" w:rsidP="00674E3F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75180F" w:rsidRPr="00F71218" w:rsidRDefault="0075180F" w:rsidP="00674E3F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75180F" w:rsidRPr="00F71218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75180F" w:rsidRDefault="0075180F" w:rsidP="00674E3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 w:rsidR="00D30B6C">
        <w:t>ю (по графику его консультаций).</w:t>
      </w:r>
    </w:p>
    <w:p w:rsidR="00374159" w:rsidRDefault="00374159" w:rsidP="00374159">
      <w:pPr>
        <w:jc w:val="both"/>
        <w:rPr>
          <w:b/>
        </w:rPr>
      </w:pPr>
    </w:p>
    <w:p w:rsidR="0054215F" w:rsidRPr="0054215F" w:rsidRDefault="00D06D4D" w:rsidP="0054215F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54215F" w:rsidRPr="0054215F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54215F" w:rsidRPr="0054215F" w:rsidRDefault="0054215F" w:rsidP="0054215F">
      <w:pPr>
        <w:ind w:firstLine="709"/>
        <w:jc w:val="both"/>
        <w:rPr>
          <w:b/>
          <w:color w:val="000000"/>
          <w:spacing w:val="7"/>
        </w:rPr>
      </w:pP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Цель проведения лабораторных отработка обучающимися практических навыков по применению реологии пищевых материалов, а также закрепление теоретических знаний. Кроме </w:t>
      </w:r>
      <w:r w:rsidRPr="0054215F">
        <w:rPr>
          <w:color w:val="000000"/>
        </w:rPr>
        <w:lastRenderedPageBreak/>
        <w:t xml:space="preserve">того, лабораторные занятия способствуют формированию исследовательских навыков в начальной профессиональной деятельности. В ходе проведения лабораторных работ обучающиеся закрепляют знания о характере структурно механических взаимодействий в пищевых материалах.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работы, заполняют представленный по вариантам отчет, который сдают в конце работы преподавателю. Каждую работу студент осуществляет индивидуально. Получив письменные указания и форму для отчета обучающиеся, приступают к выполнению работы. Если лабораторная работа не является контрольной, обучающиеся могут обратиться за помощью к преподавателю, но в основном они должны работать самостоятельно, используя инструкцию, содержащую последовательность выполнения каждой работы. </w:t>
      </w:r>
    </w:p>
    <w:p w:rsidR="0054215F" w:rsidRPr="0054215F" w:rsidRDefault="0054215F" w:rsidP="0054215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54215F">
        <w:rPr>
          <w:color w:val="000000"/>
        </w:rPr>
        <w:t>Готовые результаты обучающиеся оформляют и сдают, либо показывают уровень выполнения непосредственно на компьютере и сохраняют на внешних носителях (</w:t>
      </w:r>
      <w:r w:rsidRPr="0054215F">
        <w:rPr>
          <w:color w:val="000000"/>
          <w:lang w:val="en-US"/>
        </w:rPr>
        <w:t>USB</w:t>
      </w:r>
      <w:r w:rsidRPr="0054215F">
        <w:rPr>
          <w:color w:val="000000"/>
        </w:rPr>
        <w:t xml:space="preserve">-флеш-накопитель). Обучающиеся оформляют отчет, в котором отвечают на поставленные вопросы, получают оценки за проделанную работу. </w:t>
      </w:r>
    </w:p>
    <w:p w:rsidR="0054215F" w:rsidRPr="00D30B6C" w:rsidRDefault="0054215F" w:rsidP="00D30B6C">
      <w:pPr>
        <w:autoSpaceDE w:val="0"/>
        <w:autoSpaceDN w:val="0"/>
        <w:adjustRightInd w:val="0"/>
        <w:ind w:firstLine="709"/>
        <w:jc w:val="both"/>
      </w:pPr>
      <w:r w:rsidRPr="0054215F">
        <w:rPr>
          <w:color w:val="000000"/>
        </w:rPr>
        <w:t xml:space="preserve">В конце лабораторной работы студенты убирают </w:t>
      </w:r>
      <w:r w:rsidRPr="0054215F">
        <w:t xml:space="preserve">рабочее место, выключают все используемое оборудование. </w:t>
      </w:r>
    </w:p>
    <w:p w:rsidR="0054215F" w:rsidRDefault="0054215F" w:rsidP="00674E3F">
      <w:pPr>
        <w:pStyle w:val="Default"/>
        <w:ind w:firstLine="709"/>
        <w:jc w:val="both"/>
        <w:rPr>
          <w:b/>
        </w:rPr>
      </w:pPr>
    </w:p>
    <w:p w:rsidR="0075180F" w:rsidRDefault="002B0C76" w:rsidP="00674E3F">
      <w:pPr>
        <w:pStyle w:val="Default"/>
        <w:ind w:firstLine="709"/>
        <w:jc w:val="both"/>
        <w:rPr>
          <w:b/>
          <w:bCs/>
        </w:rPr>
      </w:pPr>
      <w:r>
        <w:rPr>
          <w:b/>
        </w:rPr>
        <w:t>3</w:t>
      </w:r>
      <w:r w:rsidR="0075180F" w:rsidRPr="00A0599C">
        <w:rPr>
          <w:b/>
        </w:rPr>
        <w:t xml:space="preserve"> </w:t>
      </w:r>
      <w:r w:rsidR="0075180F">
        <w:rPr>
          <w:b/>
        </w:rPr>
        <w:t xml:space="preserve">Методические указания по выполнению </w:t>
      </w:r>
      <w:r w:rsidR="00C363B1">
        <w:rPr>
          <w:b/>
          <w:bCs/>
        </w:rPr>
        <w:t>комплексного практического задания</w:t>
      </w:r>
    </w:p>
    <w:p w:rsidR="0075180F" w:rsidRPr="006C42A9" w:rsidRDefault="0075180F" w:rsidP="00674E3F">
      <w:pPr>
        <w:pStyle w:val="Default"/>
        <w:ind w:firstLine="709"/>
        <w:jc w:val="both"/>
      </w:pPr>
    </w:p>
    <w:p w:rsidR="00D30B6C" w:rsidRDefault="00D30B6C" w:rsidP="00D30B6C">
      <w:pPr>
        <w:ind w:firstLine="709"/>
        <w:jc w:val="both"/>
      </w:pPr>
      <w:r>
        <w:t xml:space="preserve">Комплексное практическое задание является важным этапом в усвоении обучающимися изучаемой дисциплины. Процесс его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D30B6C" w:rsidRDefault="00D30B6C" w:rsidP="00D30B6C">
      <w:pPr>
        <w:ind w:firstLine="709"/>
        <w:jc w:val="both"/>
      </w:pPr>
      <w:r w:rsidRPr="00347565">
        <w:t xml:space="preserve">Комплексные практические задания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D30B6C" w:rsidRDefault="00D30B6C" w:rsidP="00D30B6C">
      <w:pPr>
        <w:ind w:firstLine="709"/>
        <w:jc w:val="both"/>
      </w:pPr>
      <w:r>
        <w:t xml:space="preserve">В ходе работы обучающийся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D30B6C" w:rsidRPr="00347565" w:rsidRDefault="00D30B6C" w:rsidP="00D30B6C">
      <w:pPr>
        <w:ind w:firstLine="709"/>
        <w:jc w:val="both"/>
      </w:pPr>
      <w:r>
        <w:t xml:space="preserve">При выполнении задания обучающийся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D30B6C" w:rsidRDefault="00D30B6C" w:rsidP="00D30B6C">
      <w:pPr>
        <w:ind w:firstLine="709"/>
        <w:jc w:val="both"/>
      </w:pPr>
      <w:r w:rsidRPr="00347565">
        <w:t>Комплексное практическое задание</w:t>
      </w:r>
      <w:r w:rsidRPr="00FF7DE8">
        <w:t xml:space="preserve"> </w:t>
      </w:r>
      <w:r>
        <w:t xml:space="preserve">по дисциплине </w:t>
      </w:r>
      <w:r w:rsidRPr="00FF7DE8">
        <w:t>включа</w:t>
      </w:r>
      <w:r>
        <w:t xml:space="preserve">ет пояснительную записку, </w:t>
      </w:r>
      <w:r w:rsidRPr="00FF7DE8">
        <w:t>оформленную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D30B6C" w:rsidRPr="00347565" w:rsidRDefault="00D30B6C" w:rsidP="00D30B6C">
      <w:pPr>
        <w:suppressLineNumbers/>
        <w:ind w:firstLine="709"/>
        <w:jc w:val="both"/>
      </w:pPr>
      <w:r w:rsidRPr="00347565">
        <w:t>Для выполнения задания используются основные и дополнительные литературные источники, периодические издания и интернет-ресурсы, указанные в рабочей программе дисциплины.</w:t>
      </w:r>
    </w:p>
    <w:p w:rsidR="00D30B6C" w:rsidRDefault="00D30B6C" w:rsidP="00D30B6C">
      <w:pPr>
        <w:ind w:firstLine="709"/>
        <w:jc w:val="both"/>
        <w:rPr>
          <w:color w:val="000000"/>
        </w:rPr>
      </w:pPr>
      <w:r w:rsidRPr="00FF7DE8">
        <w:rPr>
          <w:color w:val="000000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D30B6C" w:rsidRDefault="00D30B6C" w:rsidP="00D30B6C">
      <w:pPr>
        <w:ind w:firstLine="709"/>
        <w:jc w:val="both"/>
        <w:rPr>
          <w:color w:val="000000"/>
        </w:rPr>
      </w:pPr>
    </w:p>
    <w:p w:rsidR="00D30B6C" w:rsidRPr="004563CE" w:rsidRDefault="00D30B6C" w:rsidP="00D30B6C">
      <w:pPr>
        <w:pStyle w:val="Default"/>
        <w:ind w:firstLine="709"/>
        <w:jc w:val="both"/>
        <w:rPr>
          <w:b/>
        </w:rPr>
      </w:pPr>
      <w:r>
        <w:rPr>
          <w:b/>
        </w:rPr>
        <w:t>4</w:t>
      </w:r>
      <w:r w:rsidRPr="004563CE">
        <w:rPr>
          <w:b/>
        </w:rPr>
        <w:t xml:space="preserve"> Методические указания по самостоятельной работе</w:t>
      </w:r>
    </w:p>
    <w:p w:rsidR="00D30B6C" w:rsidRPr="004563CE" w:rsidRDefault="00D30B6C" w:rsidP="00D30B6C">
      <w:pPr>
        <w:pStyle w:val="Default"/>
        <w:ind w:firstLine="709"/>
        <w:jc w:val="both"/>
        <w:rPr>
          <w:rFonts w:eastAsia="Calibri"/>
        </w:rPr>
      </w:pPr>
    </w:p>
    <w:p w:rsidR="00D30B6C" w:rsidRPr="004563CE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профессиональной деятельности, способствует развитию способности к самообучению и постоянному повышению своего профессионального уровня. </w:t>
      </w:r>
    </w:p>
    <w:p w:rsidR="00D30B6C" w:rsidRPr="004563CE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lastRenderedPageBreak/>
        <w:t>Цел</w:t>
      </w:r>
      <w:r>
        <w:t>ями</w:t>
      </w:r>
      <w:r w:rsidRPr="004563CE">
        <w:t xml:space="preserve"> самостоятельной работы </w:t>
      </w:r>
      <w:r>
        <w:t>являются</w:t>
      </w:r>
      <w:r w:rsidRPr="004563CE">
        <w:t xml:space="preserve">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D30B6C" w:rsidRDefault="00D30B6C" w:rsidP="00D30B6C">
      <w:pPr>
        <w:autoSpaceDE w:val="0"/>
        <w:autoSpaceDN w:val="0"/>
        <w:adjustRightInd w:val="0"/>
        <w:ind w:firstLine="709"/>
        <w:jc w:val="both"/>
      </w:pPr>
      <w:r w:rsidRPr="004563CE">
        <w:t>Самост</w:t>
      </w:r>
      <w:r>
        <w:t xml:space="preserve">оятельная работа по дисциплине </w:t>
      </w:r>
      <w:r w:rsidRPr="004563CE">
        <w:t>заключается в изучении тем программы дисциплины по рекомендуемой учебной литературе, в изучении тем лекций, в подготовке к</w:t>
      </w:r>
      <w:r>
        <w:t>о</w:t>
      </w:r>
      <w:r w:rsidRPr="004563CE">
        <w:t xml:space="preserve"> </w:t>
      </w:r>
      <w:r>
        <w:t>всем видам контактной и самостоятельной работы,</w:t>
      </w:r>
      <w:r w:rsidRPr="004563CE">
        <w:t xml:space="preserve"> </w:t>
      </w:r>
      <w:r>
        <w:t xml:space="preserve">в подготовке </w:t>
      </w:r>
      <w:r w:rsidRPr="004563CE">
        <w:t>к промежуточной аттестации</w:t>
      </w:r>
      <w:r>
        <w:t>.</w:t>
      </w:r>
      <w:r w:rsidRPr="004563CE">
        <w:t xml:space="preserve">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Алгоритм самостоятельной работы студентов: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D30B6C" w:rsidRPr="00157D6C" w:rsidRDefault="00D30B6C" w:rsidP="00D30B6C">
      <w:pPr>
        <w:ind w:firstLine="709"/>
        <w:jc w:val="both"/>
      </w:pPr>
      <w:r w:rsidRPr="00157D6C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D30B6C" w:rsidRPr="00157D6C" w:rsidRDefault="00D30B6C" w:rsidP="00D30B6C">
      <w:pPr>
        <w:ind w:firstLine="709"/>
        <w:jc w:val="both"/>
      </w:pPr>
      <w:r w:rsidRPr="00157D6C">
        <w:t>3 этап – составление плана ответа на каждый вопрос или алгоритма решения задачи.</w:t>
      </w:r>
    </w:p>
    <w:p w:rsidR="00D30B6C" w:rsidRPr="00D30B6C" w:rsidRDefault="00D30B6C" w:rsidP="00D30B6C">
      <w:pPr>
        <w:suppressLineNumbers/>
        <w:ind w:firstLine="709"/>
        <w:jc w:val="both"/>
        <w:rPr>
          <w:rFonts w:eastAsia="Calibri"/>
        </w:rPr>
      </w:pPr>
      <w:r w:rsidRPr="004563CE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347565">
        <w:t>рабочей программ</w:t>
      </w:r>
      <w:r>
        <w:t>ы</w:t>
      </w:r>
      <w:r w:rsidRPr="00347565">
        <w:t xml:space="preserve"> дисциплины.</w:t>
      </w:r>
    </w:p>
    <w:p w:rsidR="00374159" w:rsidRDefault="00374159" w:rsidP="00AC394E">
      <w:pPr>
        <w:jc w:val="both"/>
        <w:rPr>
          <w:b/>
        </w:rPr>
      </w:pPr>
    </w:p>
    <w:p w:rsidR="0075180F" w:rsidRPr="00A0599C" w:rsidRDefault="00D30B6C" w:rsidP="00674E3F">
      <w:pPr>
        <w:ind w:firstLine="709"/>
        <w:jc w:val="both"/>
        <w:rPr>
          <w:spacing w:val="2"/>
        </w:rPr>
      </w:pPr>
      <w:r>
        <w:rPr>
          <w:b/>
        </w:rPr>
        <w:t>5</w:t>
      </w:r>
      <w:r w:rsidR="0075180F">
        <w:rPr>
          <w:b/>
        </w:rPr>
        <w:t xml:space="preserve"> </w:t>
      </w:r>
      <w:r w:rsidR="0075180F" w:rsidRPr="00A0599C">
        <w:rPr>
          <w:b/>
        </w:rPr>
        <w:t xml:space="preserve">Методические указания по подготовке к </w:t>
      </w:r>
      <w:r w:rsidR="00C363B1">
        <w:rPr>
          <w:b/>
        </w:rPr>
        <w:t>диф. зачету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</w:p>
    <w:p w:rsidR="0075180F" w:rsidRPr="00A0599C" w:rsidRDefault="0075180F" w:rsidP="00674E3F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 xml:space="preserve">сдачей </w:t>
      </w:r>
      <w:r w:rsidRPr="00A0599C">
        <w:rPr>
          <w:spacing w:val="2"/>
        </w:rPr>
        <w:t>экзамен</w:t>
      </w:r>
      <w:r>
        <w:rPr>
          <w:spacing w:val="2"/>
        </w:rPr>
        <w:t>а и зачета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</w:t>
      </w:r>
      <w:r w:rsidRPr="00A0599C">
        <w:rPr>
          <w:color w:val="000000"/>
        </w:rPr>
        <w:t xml:space="preserve"> по дисциплине </w:t>
      </w:r>
      <w:r>
        <w:rPr>
          <w:color w:val="000000"/>
        </w:rPr>
        <w:t>МСС представляю</w:t>
      </w:r>
      <w:r w:rsidRPr="00A0599C">
        <w:rPr>
          <w:color w:val="000000"/>
        </w:rPr>
        <w:t>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(ФГОС). В ходе </w:t>
      </w:r>
      <w:r>
        <w:rPr>
          <w:color w:val="000000"/>
        </w:rPr>
        <w:t xml:space="preserve">зачета и </w:t>
      </w:r>
      <w:r w:rsidRPr="00A0599C">
        <w:rPr>
          <w:color w:val="000000"/>
        </w:rPr>
        <w:t>экзамена 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75180F" w:rsidRDefault="0075180F" w:rsidP="00674E3F">
      <w:pPr>
        <w:shd w:val="clear" w:color="auto" w:fill="FFFFFF"/>
        <w:ind w:firstLine="709"/>
        <w:jc w:val="both"/>
        <w:rPr>
          <w:spacing w:val="2"/>
        </w:rPr>
      </w:pPr>
      <w:r w:rsidRPr="00A0599C">
        <w:rPr>
          <w:color w:val="000000"/>
        </w:rPr>
        <w:t>Экзамен</w:t>
      </w:r>
      <w:r>
        <w:rPr>
          <w:color w:val="000000"/>
        </w:rPr>
        <w:t xml:space="preserve"> и зачет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</w:t>
      </w:r>
      <w:r w:rsidRPr="00A0599C">
        <w:rPr>
          <w:color w:val="000000"/>
        </w:rPr>
        <w:t>деятельности. Экзамен</w:t>
      </w:r>
      <w:r>
        <w:rPr>
          <w:color w:val="000000"/>
        </w:rPr>
        <w:t xml:space="preserve"> и зачет нося</w:t>
      </w:r>
      <w:r w:rsidRPr="00A0599C">
        <w:rPr>
          <w:color w:val="000000"/>
        </w:rPr>
        <w:t>т комплексный характер и направлен</w:t>
      </w:r>
      <w:r>
        <w:rPr>
          <w:color w:val="000000"/>
        </w:rPr>
        <w:t>ы</w:t>
      </w:r>
      <w:r w:rsidRPr="00A0599C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 знаний по механике сыпучих сред.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 xml:space="preserve">Подготовка к экзамену </w:t>
      </w:r>
      <w:r>
        <w:rPr>
          <w:spacing w:val="2"/>
        </w:rPr>
        <w:t xml:space="preserve">и зачету </w:t>
      </w:r>
      <w:r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</w:t>
      </w:r>
      <w:r>
        <w:rPr>
          <w:spacing w:val="2"/>
        </w:rPr>
        <w:t xml:space="preserve"> и зачету</w:t>
      </w:r>
      <w:r w:rsidRPr="00A0599C">
        <w:rPr>
          <w:spacing w:val="2"/>
        </w:rPr>
        <w:t xml:space="preserve">, студент ликвидирует имеющиеся пробелы в знаниях, углубляет, систематизирует и упорядочивает свои знания. На экзамене </w:t>
      </w:r>
      <w:r>
        <w:rPr>
          <w:spacing w:val="2"/>
        </w:rPr>
        <w:t xml:space="preserve">и зачете </w:t>
      </w:r>
      <w:r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5180F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Требования к ор</w:t>
      </w:r>
      <w:r>
        <w:rPr>
          <w:spacing w:val="2"/>
        </w:rPr>
        <w:t>ганизации подготовки к экзамену и зачету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При подготовке к экзамену и зачету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75180F" w:rsidRPr="00A0599C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5180F" w:rsidRPr="001A78BD" w:rsidRDefault="0075180F" w:rsidP="00674E3F">
      <w:pPr>
        <w:ind w:firstLine="709"/>
        <w:jc w:val="both"/>
        <w:rPr>
          <w:spacing w:val="2"/>
        </w:rPr>
      </w:pPr>
      <w:r w:rsidRPr="00A0599C">
        <w:rPr>
          <w:spacing w:val="2"/>
        </w:rPr>
        <w:t> </w:t>
      </w:r>
      <w:r w:rsidRPr="001A78BD">
        <w:rPr>
          <w:bCs/>
          <w:spacing w:val="2"/>
        </w:rPr>
        <w:t>Правила подготовки к экзамен</w:t>
      </w:r>
      <w:r>
        <w:rPr>
          <w:bCs/>
          <w:spacing w:val="2"/>
        </w:rPr>
        <w:t>у и зачету</w:t>
      </w:r>
      <w:r w:rsidRPr="001A78BD">
        <w:rPr>
          <w:bCs/>
          <w:spacing w:val="2"/>
        </w:rPr>
        <w:t>: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75180F" w:rsidRPr="00A0599C" w:rsidRDefault="0075180F" w:rsidP="00674E3F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lastRenderedPageBreak/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75180F" w:rsidRPr="00AC394E" w:rsidRDefault="0075180F" w:rsidP="00674E3F">
      <w:pPr>
        <w:jc w:val="center"/>
        <w:rPr>
          <w:b/>
          <w:spacing w:val="2"/>
        </w:rPr>
      </w:pPr>
      <w:r w:rsidRPr="00AC394E">
        <w:rPr>
          <w:b/>
          <w:spacing w:val="2"/>
        </w:rPr>
        <w:t>Список рекомендуемой литературы</w:t>
      </w:r>
    </w:p>
    <w:p w:rsidR="0075180F" w:rsidRDefault="0075180F" w:rsidP="00674E3F">
      <w:pPr>
        <w:shd w:val="clear" w:color="auto" w:fill="FFFFFF"/>
        <w:ind w:firstLine="709"/>
        <w:jc w:val="both"/>
        <w:rPr>
          <w:color w:val="000000"/>
        </w:rPr>
      </w:pP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 w:rsidRPr="0077290E">
        <w:rPr>
          <w:bCs/>
        </w:rPr>
        <w:t>1.</w:t>
      </w:r>
      <w:r w:rsidRPr="0077290E">
        <w:rPr>
          <w:b/>
          <w:bCs/>
        </w:rPr>
        <w:t xml:space="preserve"> </w:t>
      </w:r>
      <w:r w:rsidRPr="0077290E">
        <w:rPr>
          <w:bCs/>
        </w:rPr>
        <w:t>Кузнецов, О. А.</w:t>
      </w:r>
      <w:r w:rsidRPr="0077290E">
        <w:t xml:space="preserve"> </w:t>
      </w:r>
      <w:r w:rsidRPr="0077290E">
        <w:rPr>
          <w:bCs/>
        </w:rPr>
        <w:t>Реология пищевых масс</w:t>
      </w:r>
      <w:r w:rsidRPr="0077290E">
        <w:t> [Текст] : учеб. пособие для вузов / О. А. Кузнецов, Е. В. Волошин, Р. Ф. Сагитов;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ГОУ ОГУ, 2005. - 106 с. - Библиогр.: с. 105-106.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 xml:space="preserve">2. </w:t>
      </w:r>
      <w:r w:rsidRPr="005F14C1">
        <w:t>Пищевая биотехнология продуктов из сырья растительного происхождения : учебник / А. Ю. Просеков, О. А. Неверова, Г. Б. Пищиков, В. М. Позняковский. — 2-е изд., перераб. и доп. — Кемерово : КемГУ, 2019. — 262 с. — Текст : электронный // Лань : электронно-библиотечная система. — URL: https://e.lanbo</w:t>
      </w:r>
      <w:r>
        <w:t>ok.com/book/135193.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3. Малкин, А. Я. Реология: концепции, методы, приложения = RHEOLOGY: conceptions, methods, applications [Текст] : авториз. пер. с англ. яз. / А. Я. Малкин, А. И. Исаев. - Санкт Петербург : Профессия, 2007. - 560 с. : ил. - Алф.-пред. указ.: с. 551-557. - ISBN 978-5-93913-139-1.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4. Мачихин, Ю. А. Инженерная реология пищевых материалов [Текст]  / Ю. А. Мачихин, С. А. Мачихин. - М. : Легкая и пищевая пром-сть, 1981. - 216 с. : ил.</w:t>
      </w:r>
    </w:p>
    <w:p w:rsidR="00D30B6C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>5. Арет, В. А. Физико-механические свойства сырья и готовой продукции [Текст] : учебное пособие для студентов высших учебных заведений, обучающихся по направлению 260100 (552400) "Технология продуктов питания" и по направлению подготовки дипломированного специалиста 260600 (655800) "Пищевая инженерия" / В. А. Арет, Б. Л. Николаев, Л. К. Николаев. - Санкт-Петербург : ГИОРД, 2009. - 448 с. : ил. - Библиогр.: с. 436-439. - ISBN 978-5-98879-066-2.</w:t>
      </w:r>
    </w:p>
    <w:p w:rsidR="00D30B6C" w:rsidRPr="0077290E" w:rsidRDefault="00D30B6C" w:rsidP="00D30B6C">
      <w:pPr>
        <w:pStyle w:val="ReportMain"/>
        <w:keepNext/>
        <w:suppressAutoHyphens/>
        <w:ind w:firstLine="709"/>
        <w:jc w:val="both"/>
        <w:outlineLvl w:val="1"/>
      </w:pPr>
      <w:r>
        <w:t xml:space="preserve">6. Волошин, Е. В. Реология и реометрия пищевых масс [Электронный ресурс] :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Е. В. Волошин;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2.43 Мб). - Оренбург : ОГУ, 2019. - 108 с. - Загл. с тит. экрана. - Adobe Acrobat Reader 7.0. - Режим доступа: </w:t>
      </w:r>
      <w:r w:rsidRPr="00C922BA">
        <w:rPr>
          <w:u w:val="single"/>
        </w:rPr>
        <w:t>http://artlib.osu.ru/web/books/metod_all/116111_20200113</w:t>
      </w:r>
      <w:r>
        <w:t>.pdf - ISBN 978-5-7410-2419-5.</w:t>
      </w:r>
    </w:p>
    <w:p w:rsidR="00D30B6C" w:rsidRDefault="00D30B6C" w:rsidP="00D30B6C">
      <w:pPr>
        <w:suppressAutoHyphens/>
        <w:ind w:firstLine="709"/>
        <w:jc w:val="both"/>
      </w:pPr>
      <w:r>
        <w:t>7. Журналы:</w:t>
      </w:r>
    </w:p>
    <w:p w:rsidR="00D30B6C" w:rsidRPr="00484010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Пищевая промышленность: журнал. </w:t>
      </w:r>
      <w:r>
        <w:t>- М.: Агентство "Роспечать"</w:t>
      </w:r>
      <w:r w:rsidRPr="00484010">
        <w:t>.</w:t>
      </w:r>
    </w:p>
    <w:p w:rsidR="00D30B6C" w:rsidRPr="00484010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Хлебопродукты: журнал. </w:t>
      </w:r>
      <w:r>
        <w:t>- М.: Из-во "Хлебопродукты"</w:t>
      </w:r>
      <w:r w:rsidRPr="00484010">
        <w:t>.</w:t>
      </w:r>
    </w:p>
    <w:p w:rsidR="00D30B6C" w:rsidRPr="00862B42" w:rsidRDefault="00D30B6C" w:rsidP="00D30B6C">
      <w:pPr>
        <w:suppressAutoHyphens/>
        <w:ind w:firstLine="709"/>
        <w:jc w:val="both"/>
      </w:pPr>
      <w:r>
        <w:t xml:space="preserve">- </w:t>
      </w:r>
      <w:r w:rsidRPr="00484010">
        <w:t xml:space="preserve">Известия высших учебных заведений. Пищевая технология: журнал. </w:t>
      </w:r>
      <w:r>
        <w:t>- М.: Агентство "Роспечать"</w:t>
      </w:r>
      <w:r w:rsidRPr="00484010">
        <w:t>.</w:t>
      </w:r>
    </w:p>
    <w:p w:rsidR="0075180F" w:rsidRPr="00D57891" w:rsidRDefault="0075180F" w:rsidP="00BA4396">
      <w:pPr>
        <w:ind w:firstLine="720"/>
        <w:jc w:val="both"/>
        <w:rPr>
          <w:i/>
        </w:rPr>
      </w:pPr>
    </w:p>
    <w:sectPr w:rsidR="0075180F" w:rsidRPr="00D57891" w:rsidSect="003741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61" w:rsidRDefault="00CC6361" w:rsidP="00E01DB3">
      <w:r>
        <w:separator/>
      </w:r>
    </w:p>
  </w:endnote>
  <w:endnote w:type="continuationSeparator" w:id="0">
    <w:p w:rsidR="00CC6361" w:rsidRDefault="00CC636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159" w:rsidRDefault="00374159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B81626">
      <w:rPr>
        <w:noProof/>
      </w:rPr>
      <w:t>2</w:t>
    </w:r>
    <w:r>
      <w:fldChar w:fldCharType="end"/>
    </w:r>
  </w:p>
  <w:p w:rsidR="00374159" w:rsidRDefault="003741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61" w:rsidRDefault="00CC6361" w:rsidP="00E01DB3">
      <w:r>
        <w:separator/>
      </w:r>
    </w:p>
  </w:footnote>
  <w:footnote w:type="continuationSeparator" w:id="0">
    <w:p w:rsidR="00CC6361" w:rsidRDefault="00CC636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6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542A2058"/>
    <w:multiLevelType w:val="hybridMultilevel"/>
    <w:tmpl w:val="929CEA9E"/>
    <w:lvl w:ilvl="0" w:tplc="61C08C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8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4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6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9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4"/>
  </w:num>
  <w:num w:numId="5">
    <w:abstractNumId w:val="16"/>
  </w:num>
  <w:num w:numId="6">
    <w:abstractNumId w:val="19"/>
  </w:num>
  <w:num w:numId="7">
    <w:abstractNumId w:val="8"/>
  </w:num>
  <w:num w:numId="8">
    <w:abstractNumId w:val="4"/>
  </w:num>
  <w:num w:numId="9">
    <w:abstractNumId w:val="17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8"/>
  </w:num>
  <w:num w:numId="14">
    <w:abstractNumId w:val="0"/>
  </w:num>
  <w:num w:numId="15">
    <w:abstractNumId w:val="6"/>
  </w:num>
  <w:num w:numId="16">
    <w:abstractNumId w:val="3"/>
  </w:num>
  <w:num w:numId="17">
    <w:abstractNumId w:val="11"/>
  </w:num>
  <w:num w:numId="18">
    <w:abstractNumId w:val="1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C9"/>
    <w:rsid w:val="00001FFE"/>
    <w:rsid w:val="000229B3"/>
    <w:rsid w:val="00061F57"/>
    <w:rsid w:val="00076E4D"/>
    <w:rsid w:val="000A3EB3"/>
    <w:rsid w:val="000D40E4"/>
    <w:rsid w:val="000F2FCD"/>
    <w:rsid w:val="00157D6C"/>
    <w:rsid w:val="00181537"/>
    <w:rsid w:val="00197011"/>
    <w:rsid w:val="001A78BD"/>
    <w:rsid w:val="001C39AA"/>
    <w:rsid w:val="001E3C09"/>
    <w:rsid w:val="001F2AE1"/>
    <w:rsid w:val="001F470F"/>
    <w:rsid w:val="0025697D"/>
    <w:rsid w:val="002702CE"/>
    <w:rsid w:val="002974E2"/>
    <w:rsid w:val="002A1835"/>
    <w:rsid w:val="002B0C76"/>
    <w:rsid w:val="002C2086"/>
    <w:rsid w:val="002D056B"/>
    <w:rsid w:val="002F58F5"/>
    <w:rsid w:val="00300B38"/>
    <w:rsid w:val="00306238"/>
    <w:rsid w:val="00315BA8"/>
    <w:rsid w:val="00341690"/>
    <w:rsid w:val="00343341"/>
    <w:rsid w:val="00374159"/>
    <w:rsid w:val="0039750A"/>
    <w:rsid w:val="003B7269"/>
    <w:rsid w:val="003C0E7B"/>
    <w:rsid w:val="003D494F"/>
    <w:rsid w:val="003E0DC1"/>
    <w:rsid w:val="0040005F"/>
    <w:rsid w:val="00400337"/>
    <w:rsid w:val="0042224A"/>
    <w:rsid w:val="004269E2"/>
    <w:rsid w:val="00437213"/>
    <w:rsid w:val="004530FD"/>
    <w:rsid w:val="00485075"/>
    <w:rsid w:val="00491396"/>
    <w:rsid w:val="004D73D8"/>
    <w:rsid w:val="005242E3"/>
    <w:rsid w:val="00526678"/>
    <w:rsid w:val="00535E20"/>
    <w:rsid w:val="0054215F"/>
    <w:rsid w:val="00543285"/>
    <w:rsid w:val="0057355E"/>
    <w:rsid w:val="00582395"/>
    <w:rsid w:val="005A031B"/>
    <w:rsid w:val="005B4C63"/>
    <w:rsid w:val="005B58E9"/>
    <w:rsid w:val="005F6BFF"/>
    <w:rsid w:val="00623B4E"/>
    <w:rsid w:val="00641288"/>
    <w:rsid w:val="006419B5"/>
    <w:rsid w:val="00660DE9"/>
    <w:rsid w:val="0067181E"/>
    <w:rsid w:val="00674E3F"/>
    <w:rsid w:val="006875B6"/>
    <w:rsid w:val="00691AB7"/>
    <w:rsid w:val="006B1049"/>
    <w:rsid w:val="006C42A9"/>
    <w:rsid w:val="006E6460"/>
    <w:rsid w:val="006E6558"/>
    <w:rsid w:val="00725BC6"/>
    <w:rsid w:val="00732E02"/>
    <w:rsid w:val="0073437B"/>
    <w:rsid w:val="00750449"/>
    <w:rsid w:val="0075180F"/>
    <w:rsid w:val="00753C7F"/>
    <w:rsid w:val="0076369D"/>
    <w:rsid w:val="007B13D6"/>
    <w:rsid w:val="007C06E1"/>
    <w:rsid w:val="007F0A60"/>
    <w:rsid w:val="00821CEA"/>
    <w:rsid w:val="008241E6"/>
    <w:rsid w:val="00827C7A"/>
    <w:rsid w:val="00830C88"/>
    <w:rsid w:val="00851D06"/>
    <w:rsid w:val="0085599A"/>
    <w:rsid w:val="008D23A1"/>
    <w:rsid w:val="008F2385"/>
    <w:rsid w:val="00964A98"/>
    <w:rsid w:val="00972A6F"/>
    <w:rsid w:val="00976FE9"/>
    <w:rsid w:val="009A10A3"/>
    <w:rsid w:val="009A61F8"/>
    <w:rsid w:val="00A03377"/>
    <w:rsid w:val="00A0599C"/>
    <w:rsid w:val="00A1500B"/>
    <w:rsid w:val="00A22803"/>
    <w:rsid w:val="00A22C8D"/>
    <w:rsid w:val="00A230C9"/>
    <w:rsid w:val="00A3228B"/>
    <w:rsid w:val="00AB0EEB"/>
    <w:rsid w:val="00AC394E"/>
    <w:rsid w:val="00AE79D1"/>
    <w:rsid w:val="00B16EB2"/>
    <w:rsid w:val="00B26DBC"/>
    <w:rsid w:val="00B81626"/>
    <w:rsid w:val="00BA4396"/>
    <w:rsid w:val="00BB00C5"/>
    <w:rsid w:val="00BF15E3"/>
    <w:rsid w:val="00C23460"/>
    <w:rsid w:val="00C25187"/>
    <w:rsid w:val="00C363B1"/>
    <w:rsid w:val="00C45CBA"/>
    <w:rsid w:val="00C915A9"/>
    <w:rsid w:val="00C95930"/>
    <w:rsid w:val="00CA103E"/>
    <w:rsid w:val="00CA2809"/>
    <w:rsid w:val="00CC13BF"/>
    <w:rsid w:val="00CC6361"/>
    <w:rsid w:val="00D06C5F"/>
    <w:rsid w:val="00D06D4D"/>
    <w:rsid w:val="00D24777"/>
    <w:rsid w:val="00D25DB9"/>
    <w:rsid w:val="00D30B6C"/>
    <w:rsid w:val="00D533CD"/>
    <w:rsid w:val="00D57891"/>
    <w:rsid w:val="00D81540"/>
    <w:rsid w:val="00D84F05"/>
    <w:rsid w:val="00D950CD"/>
    <w:rsid w:val="00DA2F35"/>
    <w:rsid w:val="00DA7141"/>
    <w:rsid w:val="00DB166F"/>
    <w:rsid w:val="00DB1A78"/>
    <w:rsid w:val="00DD2495"/>
    <w:rsid w:val="00DD6D30"/>
    <w:rsid w:val="00DD777D"/>
    <w:rsid w:val="00DE4D08"/>
    <w:rsid w:val="00DF3556"/>
    <w:rsid w:val="00E01DB3"/>
    <w:rsid w:val="00E035F1"/>
    <w:rsid w:val="00E03885"/>
    <w:rsid w:val="00E03E99"/>
    <w:rsid w:val="00E43615"/>
    <w:rsid w:val="00E5775E"/>
    <w:rsid w:val="00E62D3C"/>
    <w:rsid w:val="00E72A96"/>
    <w:rsid w:val="00E762C0"/>
    <w:rsid w:val="00E950C8"/>
    <w:rsid w:val="00E97EEF"/>
    <w:rsid w:val="00EA6EEA"/>
    <w:rsid w:val="00EC17FB"/>
    <w:rsid w:val="00ED7729"/>
    <w:rsid w:val="00EE1C7C"/>
    <w:rsid w:val="00F149F2"/>
    <w:rsid w:val="00F22E48"/>
    <w:rsid w:val="00F70E83"/>
    <w:rsid w:val="00F71218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201B85"/>
  <w15:docId w15:val="{C008B6E3-DB45-48EE-9C89-C16B0681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C95930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83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Вопервых</cp:lastModifiedBy>
  <cp:revision>28</cp:revision>
  <cp:lastPrinted>2021-05-25T13:52:00Z</cp:lastPrinted>
  <dcterms:created xsi:type="dcterms:W3CDTF">2019-10-15T11:24:00Z</dcterms:created>
  <dcterms:modified xsi:type="dcterms:W3CDTF">2025-03-24T18:22:00Z</dcterms:modified>
</cp:coreProperties>
</file>