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C4728E">
        <w:rPr>
          <w:i/>
          <w:sz w:val="24"/>
        </w:rPr>
        <w:t>Доказывание и доказательства по гражданским делам</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8A238A" w:rsidP="00D5231C">
      <w:pPr>
        <w:suppressAutoHyphens/>
        <w:jc w:val="center"/>
        <w:rPr>
          <w:i/>
          <w:u w:val="single"/>
        </w:rPr>
      </w:pPr>
      <w:r>
        <w:rPr>
          <w:i/>
          <w:u w:val="single"/>
        </w:rPr>
        <w:t xml:space="preserve">40.05.04 </w:t>
      </w:r>
      <w:r w:rsidR="00D5231C" w:rsidRPr="00D25DC7">
        <w:rPr>
          <w:i/>
          <w:u w:val="single"/>
        </w:rPr>
        <w:t xml:space="preserve"> </w:t>
      </w:r>
      <w:r>
        <w:rPr>
          <w:i/>
          <w:u w:val="single"/>
        </w:rPr>
        <w:t>Судебная и прокурорская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A5152A" w:rsidP="00D5231C">
      <w:pPr>
        <w:suppressAutoHyphens/>
        <w:jc w:val="center"/>
        <w:rPr>
          <w:i/>
          <w:u w:val="single"/>
        </w:rPr>
      </w:pPr>
      <w:r>
        <w:rPr>
          <w:i/>
          <w:u w:val="single"/>
        </w:rPr>
        <w:t xml:space="preserve">Прокурорская </w:t>
      </w:r>
      <w:r w:rsidR="008A238A">
        <w:rPr>
          <w:i/>
          <w:u w:val="single"/>
        </w:rPr>
        <w:t xml:space="preserve"> деятельность</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EB78A3" w:rsidP="00D5231C">
      <w:pPr>
        <w:suppressAutoHyphens/>
        <w:spacing w:after="5400"/>
        <w:jc w:val="center"/>
        <w:rPr>
          <w:i/>
          <w:u w:val="single"/>
        </w:rPr>
      </w:pPr>
      <w:r>
        <w:rPr>
          <w:i/>
          <w:u w:val="single"/>
        </w:rPr>
        <w:t>Зао</w:t>
      </w:r>
      <w:r w:rsidR="00D5231C" w:rsidRPr="00D25DC7">
        <w:rPr>
          <w:i/>
          <w:u w:val="single"/>
        </w:rPr>
        <w:t>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w:t>
      </w:r>
      <w:r w:rsidR="00B96AA0">
        <w:rPr>
          <w:rFonts w:eastAsiaTheme="minorHAnsi"/>
          <w:lang w:eastAsia="en-US"/>
        </w:rPr>
        <w:t>5</w:t>
      </w:r>
      <w:bookmarkStart w:id="0" w:name="_GoBack"/>
      <w:bookmarkEnd w:id="0"/>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C4728E">
        <w:rPr>
          <w:i/>
        </w:rPr>
        <w:t>Доказывание и доказательства по гражданским делам</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870629" w:rsidP="00B0360B">
      <w:pPr>
        <w:shd w:val="clear" w:color="auto" w:fill="FFFFFF"/>
        <w:jc w:val="both"/>
        <w:rPr>
          <w:color w:val="000000"/>
          <w:spacing w:val="7"/>
        </w:rPr>
      </w:pPr>
      <w:r>
        <w:rPr>
          <w:color w:val="000000"/>
          <w:spacing w:val="7"/>
        </w:rPr>
        <w:t>1</w:t>
      </w:r>
      <w:r w:rsidR="008A238A">
        <w:rPr>
          <w:color w:val="000000"/>
          <w:spacing w:val="7"/>
        </w:rPr>
        <w:t>0</w:t>
      </w:r>
      <w:r>
        <w:rPr>
          <w:color w:val="000000"/>
          <w:spacing w:val="7"/>
        </w:rPr>
        <w:t xml:space="preserve">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……………………………………………………………………………………………28</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w:t>
      </w:r>
      <w:r w:rsidRPr="006C68AC">
        <w:rPr>
          <w:color w:val="000000"/>
        </w:rPr>
        <w:lastRenderedPageBreak/>
        <w:t>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w:t>
      </w:r>
      <w:r w:rsidRPr="006C68AC">
        <w:rPr>
          <w:spacing w:val="4"/>
        </w:rPr>
        <w:lastRenderedPageBreak/>
        <w:t>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lastRenderedPageBreak/>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6C68AC">
        <w:lastRenderedPageBreak/>
        <w:t xml:space="preserve">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6C68AC">
        <w:rPr>
          <w:color w:val="000000"/>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w:t>
      </w:r>
      <w:r w:rsidRPr="006C68AC">
        <w:rPr>
          <w:color w:val="000000"/>
        </w:rPr>
        <w:lastRenderedPageBreak/>
        <w:t>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w:t>
      </w:r>
      <w:r w:rsidRPr="006C68AC">
        <w:rPr>
          <w:color w:val="000000"/>
        </w:rPr>
        <w:lastRenderedPageBreak/>
        <w:t>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lastRenderedPageBreak/>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 xml:space="preserve">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w:t>
      </w:r>
      <w:r>
        <w:lastRenderedPageBreak/>
        <w:t>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70629" w:rsidRDefault="00870629" w:rsidP="00870629">
      <w:pPr>
        <w:pStyle w:val="a9"/>
        <w:spacing w:before="0" w:beforeAutospacing="0" w:after="0" w:afterAutospacing="0"/>
        <w:ind w:firstLine="709"/>
        <w:jc w:val="both"/>
      </w:pPr>
      <w:r>
        <w:lastRenderedPageBreak/>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w:t>
      </w:r>
      <w:r w:rsidRPr="002947AF">
        <w:lastRenderedPageBreak/>
        <w:t xml:space="preserve">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lastRenderedPageBreak/>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lastRenderedPageBreak/>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w:t>
      </w:r>
      <w:r w:rsidRPr="004813FA">
        <w:lastRenderedPageBreak/>
        <w:t>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w:t>
      </w:r>
      <w:r w:rsidRPr="006C68AC">
        <w:lastRenderedPageBreak/>
        <w:t xml:space="preserve">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lastRenderedPageBreak/>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для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пробуждение у обучающихся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lastRenderedPageBreak/>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r w:rsidRPr="00844C8C">
        <w:t>oodle</w:t>
      </w:r>
      <w:proofErr w:type="spellEnd"/>
      <w:r>
        <w:t xml:space="preserve">, найти нужную дисциплину в списке. </w:t>
      </w:r>
    </w:p>
    <w:p w:rsidR="00870629" w:rsidRDefault="00870629" w:rsidP="00870629">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lastRenderedPageBreak/>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4350" w:rsidRDefault="00204350" w:rsidP="00E01DB3">
      <w:r>
        <w:separator/>
      </w:r>
    </w:p>
  </w:endnote>
  <w:endnote w:type="continuationSeparator" w:id="0">
    <w:p w:rsidR="00204350" w:rsidRDefault="0020435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DD2EF6">
        <w:pPr>
          <w:pStyle w:val="a7"/>
          <w:jc w:val="center"/>
        </w:pPr>
        <w:r>
          <w:fldChar w:fldCharType="begin"/>
        </w:r>
        <w:r w:rsidR="00383F15">
          <w:instrText xml:space="preserve"> PAGE   \* MERGEFORMAT </w:instrText>
        </w:r>
        <w:r>
          <w:fldChar w:fldCharType="separate"/>
        </w:r>
        <w:r w:rsidR="00A5152A">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4350" w:rsidRDefault="00204350" w:rsidP="00E01DB3">
      <w:r>
        <w:separator/>
      </w:r>
    </w:p>
  </w:footnote>
  <w:footnote w:type="continuationSeparator" w:id="0">
    <w:p w:rsidR="00204350" w:rsidRDefault="00204350"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2BD3"/>
    <w:rsid w:val="0000309E"/>
    <w:rsid w:val="000256D5"/>
    <w:rsid w:val="00053BD0"/>
    <w:rsid w:val="00061F57"/>
    <w:rsid w:val="00081D6B"/>
    <w:rsid w:val="000A36DD"/>
    <w:rsid w:val="000B0875"/>
    <w:rsid w:val="000D2ADF"/>
    <w:rsid w:val="000D40E4"/>
    <w:rsid w:val="000D4734"/>
    <w:rsid w:val="000F10CB"/>
    <w:rsid w:val="00102796"/>
    <w:rsid w:val="0011465B"/>
    <w:rsid w:val="00123884"/>
    <w:rsid w:val="001239D5"/>
    <w:rsid w:val="00133FC3"/>
    <w:rsid w:val="00181537"/>
    <w:rsid w:val="001A6DAA"/>
    <w:rsid w:val="001C285A"/>
    <w:rsid w:val="001C471D"/>
    <w:rsid w:val="001E3C09"/>
    <w:rsid w:val="00204350"/>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46B3"/>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E6B9F"/>
    <w:rsid w:val="009F174B"/>
    <w:rsid w:val="009F71C7"/>
    <w:rsid w:val="00A116CD"/>
    <w:rsid w:val="00A171E7"/>
    <w:rsid w:val="00A22803"/>
    <w:rsid w:val="00A230C9"/>
    <w:rsid w:val="00A2785F"/>
    <w:rsid w:val="00A5152A"/>
    <w:rsid w:val="00A5190A"/>
    <w:rsid w:val="00A76563"/>
    <w:rsid w:val="00AB361E"/>
    <w:rsid w:val="00B0360B"/>
    <w:rsid w:val="00B26B10"/>
    <w:rsid w:val="00B27CBA"/>
    <w:rsid w:val="00B36870"/>
    <w:rsid w:val="00B43A0F"/>
    <w:rsid w:val="00B45C61"/>
    <w:rsid w:val="00B727FB"/>
    <w:rsid w:val="00B96AA0"/>
    <w:rsid w:val="00C25187"/>
    <w:rsid w:val="00C4728E"/>
    <w:rsid w:val="00C75854"/>
    <w:rsid w:val="00CC13BF"/>
    <w:rsid w:val="00CD0125"/>
    <w:rsid w:val="00D006D0"/>
    <w:rsid w:val="00D020CA"/>
    <w:rsid w:val="00D25DC7"/>
    <w:rsid w:val="00D334D0"/>
    <w:rsid w:val="00D5231C"/>
    <w:rsid w:val="00D533CD"/>
    <w:rsid w:val="00D70EC9"/>
    <w:rsid w:val="00D763BA"/>
    <w:rsid w:val="00D82E9B"/>
    <w:rsid w:val="00D90FC4"/>
    <w:rsid w:val="00D950CD"/>
    <w:rsid w:val="00DA60D0"/>
    <w:rsid w:val="00DD2EF6"/>
    <w:rsid w:val="00DF3556"/>
    <w:rsid w:val="00E01DB3"/>
    <w:rsid w:val="00E97EEF"/>
    <w:rsid w:val="00EA7005"/>
    <w:rsid w:val="00EB78A3"/>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E5720"/>
  <w15:docId w15:val="{9D883534-DE10-4763-9728-218E25AD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7A5F2-DF26-4894-BF56-EE41EAA0D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11962</Words>
  <Characters>68187</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2019-03-14T06:31:00Z</cp:lastPrinted>
  <dcterms:created xsi:type="dcterms:W3CDTF">2025-04-22T04:49:00Z</dcterms:created>
  <dcterms:modified xsi:type="dcterms:W3CDTF">2025-04-22T04:49:00Z</dcterms:modified>
</cp:coreProperties>
</file>