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2B39AD" w:rsidRDefault="002B39AD" w:rsidP="00C61625">
      <w:pPr>
        <w:spacing w:after="0" w:line="240" w:lineRule="auto"/>
        <w:ind w:firstLine="709"/>
        <w:jc w:val="center"/>
        <w:rPr>
          <w:rFonts w:ascii="Times New Roman" w:hAnsi="Times New Roman" w:cs="Times New Roman"/>
          <w:i/>
          <w:sz w:val="28"/>
          <w:szCs w:val="28"/>
          <w:u w:val="single"/>
        </w:rPr>
      </w:pPr>
      <w:bookmarkStart w:id="0" w:name="_GoBack"/>
      <w:r w:rsidRPr="002B39AD">
        <w:rPr>
          <w:rFonts w:ascii="Times New Roman" w:hAnsi="Times New Roman" w:cs="Times New Roman"/>
          <w:i/>
          <w:sz w:val="28"/>
          <w:szCs w:val="28"/>
          <w:u w:val="single"/>
        </w:rPr>
        <w:t>Гражданско-правовой</w:t>
      </w:r>
    </w:p>
    <w:bookmarkEnd w:id="0"/>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DE60CC">
        <w:rPr>
          <w:rFonts w:ascii="Times New Roman" w:hAnsi="Times New Roman" w:cs="Times New Roman"/>
          <w:sz w:val="28"/>
          <w:szCs w:val="28"/>
        </w:rPr>
        <w:t>2</w:t>
      </w:r>
      <w:r w:rsidR="00567BC3">
        <w:rPr>
          <w:rFonts w:ascii="Times New Roman" w:hAnsi="Times New Roman" w:cs="Times New Roman"/>
          <w:sz w:val="28"/>
          <w:szCs w:val="28"/>
        </w:rPr>
        <w:t>5</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 xml:space="preserve">направлению подготовки 40.03.01 </w:t>
      </w:r>
      <w:proofErr w:type="gramStart"/>
      <w:r w:rsidR="00114F68" w:rsidRPr="009B06EB">
        <w:rPr>
          <w:rFonts w:ascii="Times New Roman" w:hAnsi="Times New Roman" w:cs="Times New Roman"/>
          <w:sz w:val="28"/>
          <w:szCs w:val="28"/>
        </w:rPr>
        <w:t>Юриспруденция  по</w:t>
      </w:r>
      <w:proofErr w:type="gramEnd"/>
      <w:r w:rsidR="00114F68" w:rsidRPr="009B06EB">
        <w:rPr>
          <w:rFonts w:ascii="Times New Roman" w:hAnsi="Times New Roman" w:cs="Times New Roman"/>
          <w:sz w:val="28"/>
          <w:szCs w:val="28"/>
        </w:rPr>
        <w:t xml:space="preserve">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 xml:space="preserve">Методические </w:t>
      </w:r>
      <w:proofErr w:type="gramStart"/>
      <w:r w:rsidRPr="009B06EB">
        <w:rPr>
          <w:rFonts w:ascii="Times New Roman" w:hAnsi="Times New Roman" w:cs="Times New Roman"/>
          <w:sz w:val="28"/>
          <w:szCs w:val="28"/>
        </w:rPr>
        <w:t>указания  рассмотрены</w:t>
      </w:r>
      <w:proofErr w:type="gramEnd"/>
      <w:r w:rsidRPr="009B06EB">
        <w:rPr>
          <w:rFonts w:ascii="Times New Roman" w:hAnsi="Times New Roman" w:cs="Times New Roman"/>
          <w:sz w:val="28"/>
          <w:szCs w:val="28"/>
        </w:rPr>
        <w:t xml:space="preserve">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567BC3">
        <w:rPr>
          <w:rFonts w:ascii="Times New Roman" w:hAnsi="Times New Roman" w:cs="Times New Roman"/>
          <w:sz w:val="28"/>
          <w:szCs w:val="28"/>
        </w:rPr>
        <w:t>5</w:t>
      </w:r>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D77C7A"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D77C7A"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w:t>
      </w:r>
      <w:proofErr w:type="gramStart"/>
      <w:r w:rsidRPr="00B96775">
        <w:rPr>
          <w:rFonts w:ascii="Times New Roman" w:hAnsi="Times New Roman" w:cs="Times New Roman"/>
          <w:sz w:val="24"/>
          <w:szCs w:val="24"/>
        </w:rPr>
        <w:t>лекции  день</w:t>
      </w:r>
      <w:proofErr w:type="gramEnd"/>
      <w:r w:rsidRPr="00B96775">
        <w:rPr>
          <w:rFonts w:ascii="Times New Roman" w:hAnsi="Times New Roman" w:cs="Times New Roman"/>
          <w:sz w:val="24"/>
          <w:szCs w:val="24"/>
        </w:rPr>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важное значение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Самостоятельная работа студента </w:t>
      </w:r>
      <w:proofErr w:type="gramStart"/>
      <w:r w:rsidRPr="00B96775">
        <w:rPr>
          <w:rFonts w:ascii="Times New Roman" w:hAnsi="Times New Roman" w:cs="Times New Roman"/>
          <w:sz w:val="24"/>
          <w:szCs w:val="24"/>
        </w:rPr>
        <w:t>- это</w:t>
      </w:r>
      <w:proofErr w:type="gramEnd"/>
      <w:r w:rsidRPr="00B96775">
        <w:rPr>
          <w:rFonts w:ascii="Times New Roman" w:hAnsi="Times New Roman" w:cs="Times New Roman"/>
          <w:sz w:val="24"/>
          <w:szCs w:val="24"/>
        </w:rPr>
        <w:t xml:space="preserve">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Самостоятельную работу </w:t>
      </w:r>
      <w:proofErr w:type="gramStart"/>
      <w:r w:rsidRPr="00B96775">
        <w:rPr>
          <w:rFonts w:ascii="Times New Roman" w:hAnsi="Times New Roman" w:cs="Times New Roman"/>
          <w:sz w:val="24"/>
          <w:szCs w:val="24"/>
        </w:rPr>
        <w:t>над  дисциплиной</w:t>
      </w:r>
      <w:proofErr w:type="gramEnd"/>
      <w:r w:rsidRPr="00B96775">
        <w:rPr>
          <w:rFonts w:ascii="Times New Roman" w:hAnsi="Times New Roman" w:cs="Times New Roman"/>
          <w:sz w:val="24"/>
          <w:szCs w:val="24"/>
        </w:rPr>
        <w:t xml:space="preserve">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рограммы, которая содержит основные требования к знаниям, умениям, навыкам обуча</w:t>
      </w:r>
      <w:r w:rsidR="003A21F9" w:rsidRPr="00B96775">
        <w:rPr>
          <w:rFonts w:ascii="Times New Roman" w:hAnsi="Times New Roman" w:cs="Times New Roman"/>
          <w:sz w:val="24"/>
          <w:szCs w:val="24"/>
        </w:rPr>
        <w:t>ющихся</w:t>
      </w:r>
      <w:r w:rsidRPr="00B96775">
        <w:rPr>
          <w:rFonts w:ascii="Times New Roman" w:hAnsi="Times New Roman" w:cs="Times New Roman"/>
          <w:sz w:val="24"/>
          <w:szCs w:val="24"/>
        </w:rPr>
        <w:t xml:space="preserve">. </w:t>
      </w:r>
      <w:r w:rsidRPr="00B96775">
        <w:rPr>
          <w:rFonts w:ascii="Times New Roman" w:hAnsi="Times New Roman" w:cs="Times New Roman"/>
          <w:sz w:val="24"/>
          <w:szCs w:val="24"/>
        </w:rPr>
        <w:lastRenderedPageBreak/>
        <w:t>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w:t>
      </w:r>
      <w:proofErr w:type="gramStart"/>
      <w:r w:rsidRPr="00706DAF">
        <w:rPr>
          <w:spacing w:val="4"/>
        </w:rPr>
        <w:t>задач  поможет</w:t>
      </w:r>
      <w:proofErr w:type="gramEnd"/>
      <w:r w:rsidRPr="00706DAF">
        <w:rPr>
          <w:spacing w:val="4"/>
        </w:rPr>
        <w:t xml:space="preserve"> студенту научиться грамотно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Заключение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lastRenderedPageBreak/>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Реферат должен быть выполнен на одной стороне стандартных листов бумаги формата А4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размер шрифта 14, через одинарный междустрочный интервал. Абзацный отступ – 1,25 (5 знаков). Напечатанный текст должен иметь поля: верхнее – 20 мм, правое – 10 мм, левое – 30 мм, нижнее – 20 мм.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как правило, проходит в форме дискуссии, в ходе которой обучающимся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подбора литературы полезно воспользоваться библиографическими и реферативными изданиями. 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 xml:space="preserve">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w:t>
      </w:r>
      <w:r w:rsidRPr="00B96775">
        <w:rPr>
          <w:rFonts w:ascii="Times New Roman" w:hAnsi="Times New Roman" w:cs="Times New Roman"/>
          <w:sz w:val="24"/>
          <w:szCs w:val="24"/>
        </w:rPr>
        <w:lastRenderedPageBreak/>
        <w:t>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Переход на компетентностный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проблему и цели дискуссии. Для этого надо объяснить, что 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lastRenderedPageBreak/>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В заключительном слове подвести группу к конструктивным выводам, имеющим 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 xml:space="preserve">Умело поставленный вопрос позволяет получить дополнительную информацию, уточнить позиции </w:t>
      </w:r>
      <w:r w:rsidRPr="00B96775">
        <w:rPr>
          <w:color w:val="000000"/>
        </w:rPr>
        <w:lastRenderedPageBreak/>
        <w:t>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B96775">
        <w:lastRenderedPageBreak/>
        <w:t xml:space="preserve">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Неудовлетворительные результаты экзамена признаются академической задолженностью. Сроки и порядок ликвидации академических задолженностей установлены Положением об отчислении обучающихся из ОГУ.</w:t>
      </w:r>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8"/>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C7A" w:rsidRDefault="00D77C7A" w:rsidP="004469B3">
      <w:pPr>
        <w:spacing w:after="0" w:line="240" w:lineRule="auto"/>
      </w:pPr>
      <w:r>
        <w:separator/>
      </w:r>
    </w:p>
  </w:endnote>
  <w:endnote w:type="continuationSeparator" w:id="0">
    <w:p w:rsidR="00D77C7A" w:rsidRDefault="00D77C7A"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DE60CC">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C7A" w:rsidRDefault="00D77C7A" w:rsidP="004469B3">
      <w:pPr>
        <w:spacing w:after="0" w:line="240" w:lineRule="auto"/>
      </w:pPr>
      <w:r>
        <w:separator/>
      </w:r>
    </w:p>
  </w:footnote>
  <w:footnote w:type="continuationSeparator" w:id="0">
    <w:p w:rsidR="00D77C7A" w:rsidRDefault="00D77C7A" w:rsidP="004469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15:restartNumberingAfterBreak="0">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15:restartNumberingAfterBreak="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75B03"/>
    <w:rsid w:val="00276063"/>
    <w:rsid w:val="002962B7"/>
    <w:rsid w:val="002A3F1D"/>
    <w:rsid w:val="002A3F63"/>
    <w:rsid w:val="002B39AD"/>
    <w:rsid w:val="002B7142"/>
    <w:rsid w:val="002D4448"/>
    <w:rsid w:val="002F7E3E"/>
    <w:rsid w:val="00305FCC"/>
    <w:rsid w:val="00333984"/>
    <w:rsid w:val="003477AD"/>
    <w:rsid w:val="00365E60"/>
    <w:rsid w:val="00367912"/>
    <w:rsid w:val="003A01D3"/>
    <w:rsid w:val="003A21F9"/>
    <w:rsid w:val="003D4313"/>
    <w:rsid w:val="003F06B7"/>
    <w:rsid w:val="004039BE"/>
    <w:rsid w:val="00410940"/>
    <w:rsid w:val="00411E4D"/>
    <w:rsid w:val="00442B38"/>
    <w:rsid w:val="004469B3"/>
    <w:rsid w:val="004A3F93"/>
    <w:rsid w:val="004E1E91"/>
    <w:rsid w:val="004E7CB5"/>
    <w:rsid w:val="004F0F00"/>
    <w:rsid w:val="00515A5A"/>
    <w:rsid w:val="00531658"/>
    <w:rsid w:val="005614FC"/>
    <w:rsid w:val="00563CDA"/>
    <w:rsid w:val="00567BC3"/>
    <w:rsid w:val="005A47E4"/>
    <w:rsid w:val="005C06D1"/>
    <w:rsid w:val="005C56AF"/>
    <w:rsid w:val="005C5AAA"/>
    <w:rsid w:val="00604C5B"/>
    <w:rsid w:val="00610EFA"/>
    <w:rsid w:val="00647AAC"/>
    <w:rsid w:val="006B3778"/>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2AFC"/>
    <w:rsid w:val="00AB5EC6"/>
    <w:rsid w:val="00B34320"/>
    <w:rsid w:val="00B44C91"/>
    <w:rsid w:val="00B96775"/>
    <w:rsid w:val="00BA4AA3"/>
    <w:rsid w:val="00BE2365"/>
    <w:rsid w:val="00BF7BBC"/>
    <w:rsid w:val="00C02369"/>
    <w:rsid w:val="00C36A27"/>
    <w:rsid w:val="00C40AA9"/>
    <w:rsid w:val="00C61625"/>
    <w:rsid w:val="00C61AFA"/>
    <w:rsid w:val="00C704EF"/>
    <w:rsid w:val="00C9225A"/>
    <w:rsid w:val="00C96689"/>
    <w:rsid w:val="00CE3148"/>
    <w:rsid w:val="00CE5399"/>
    <w:rsid w:val="00CF0EB2"/>
    <w:rsid w:val="00D01B03"/>
    <w:rsid w:val="00D30F2C"/>
    <w:rsid w:val="00D67182"/>
    <w:rsid w:val="00D74466"/>
    <w:rsid w:val="00D77C7A"/>
    <w:rsid w:val="00D8434C"/>
    <w:rsid w:val="00DA43DF"/>
    <w:rsid w:val="00DA6CC5"/>
    <w:rsid w:val="00DE60CC"/>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DF7D9"/>
  <w15:docId w15:val="{51436A22-5863-4807-9A04-E74980D9C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8289B-E138-4905-935F-9303A728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5396</Words>
  <Characters>30759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2020-01-22T05:52:00Z</cp:lastPrinted>
  <dcterms:created xsi:type="dcterms:W3CDTF">2025-04-07T06:25:00Z</dcterms:created>
  <dcterms:modified xsi:type="dcterms:W3CDTF">2025-04-07T06:26:00Z</dcterms:modified>
</cp:coreProperties>
</file>